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1F85C" w14:textId="77777777" w:rsidR="00901031" w:rsidRPr="003F7085" w:rsidRDefault="00901031" w:rsidP="00901031">
      <w:pPr>
        <w:tabs>
          <w:tab w:val="left" w:leader="underscore" w:pos="1620"/>
          <w:tab w:val="left" w:pos="1980"/>
          <w:tab w:val="left" w:leader="underscore" w:pos="3600"/>
          <w:tab w:val="left" w:pos="3960"/>
          <w:tab w:val="left" w:leader="underscore" w:pos="5940"/>
          <w:tab w:val="left" w:pos="6300"/>
          <w:tab w:val="left" w:leader="underscore" w:pos="7560"/>
          <w:tab w:val="left" w:pos="7920"/>
          <w:tab w:val="left" w:leader="underscore" w:pos="9180"/>
        </w:tabs>
        <w:spacing w:after="60"/>
        <w:ind w:right="-446"/>
        <w:rPr>
          <w:rFonts w:ascii="Bookman Old Style" w:hAnsi="Bookman Old Style"/>
          <w:b/>
          <w:i/>
          <w:smallCaps/>
          <w:sz w:val="36"/>
          <w:szCs w:val="36"/>
        </w:rPr>
      </w:pPr>
    </w:p>
    <w:tbl>
      <w:tblPr>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4688"/>
        <w:gridCol w:w="1496"/>
        <w:gridCol w:w="1283"/>
        <w:gridCol w:w="3378"/>
      </w:tblGrid>
      <w:tr w:rsidR="00BA188A" w:rsidRPr="003F7085" w14:paraId="7BE38DE6" w14:textId="77777777" w:rsidTr="00AE73E5">
        <w:trPr>
          <w:jc w:val="center"/>
        </w:trPr>
        <w:tc>
          <w:tcPr>
            <w:tcW w:w="1174" w:type="dxa"/>
            <w:tcBorders>
              <w:top w:val="single" w:sz="4" w:space="0" w:color="auto"/>
              <w:left w:val="single" w:sz="4" w:space="0" w:color="auto"/>
              <w:bottom w:val="single" w:sz="4" w:space="0" w:color="auto"/>
              <w:right w:val="single" w:sz="4" w:space="0" w:color="auto"/>
            </w:tcBorders>
          </w:tcPr>
          <w:p w14:paraId="77CD75E8" w14:textId="77777777" w:rsidR="00BA188A" w:rsidRPr="003F7085" w:rsidRDefault="00BA188A" w:rsidP="004D3E8F">
            <w:pPr>
              <w:tabs>
                <w:tab w:val="left" w:pos="632"/>
              </w:tabs>
              <w:spacing w:before="60" w:after="60"/>
              <w:jc w:val="center"/>
              <w:rPr>
                <w:rFonts w:ascii="Arial Narrow" w:hAnsi="Arial Narrow"/>
                <w:b/>
                <w:sz w:val="36"/>
                <w:szCs w:val="36"/>
              </w:rPr>
            </w:pPr>
            <w:r w:rsidRPr="003F7085">
              <w:rPr>
                <w:rFonts w:ascii="Arial Narrow" w:hAnsi="Arial Narrow"/>
                <w:b/>
                <w:sz w:val="36"/>
                <w:szCs w:val="36"/>
              </w:rPr>
              <w:t>Proposal #</w:t>
            </w:r>
          </w:p>
        </w:tc>
        <w:tc>
          <w:tcPr>
            <w:tcW w:w="4991" w:type="dxa"/>
            <w:tcBorders>
              <w:top w:val="single" w:sz="4" w:space="0" w:color="auto"/>
              <w:left w:val="single" w:sz="4" w:space="0" w:color="auto"/>
              <w:bottom w:val="single" w:sz="4" w:space="0" w:color="auto"/>
              <w:right w:val="single" w:sz="4" w:space="0" w:color="auto"/>
            </w:tcBorders>
          </w:tcPr>
          <w:p w14:paraId="20313BE5" w14:textId="77777777" w:rsidR="00BA188A" w:rsidRPr="003F7085" w:rsidRDefault="00BA188A" w:rsidP="004D3E8F">
            <w:pPr>
              <w:spacing w:before="60" w:after="60"/>
              <w:jc w:val="center"/>
              <w:rPr>
                <w:rFonts w:ascii="Arial Narrow" w:hAnsi="Arial Narrow"/>
                <w:b/>
                <w:sz w:val="36"/>
                <w:szCs w:val="36"/>
              </w:rPr>
            </w:pPr>
            <w:r w:rsidRPr="003F7085">
              <w:rPr>
                <w:rFonts w:ascii="Arial Narrow" w:hAnsi="Arial Narrow"/>
                <w:b/>
                <w:sz w:val="36"/>
                <w:szCs w:val="36"/>
              </w:rPr>
              <w:t>Title</w:t>
            </w:r>
          </w:p>
        </w:tc>
        <w:tc>
          <w:tcPr>
            <w:tcW w:w="1530" w:type="dxa"/>
            <w:tcBorders>
              <w:top w:val="single" w:sz="4" w:space="0" w:color="auto"/>
              <w:left w:val="single" w:sz="4" w:space="0" w:color="auto"/>
              <w:bottom w:val="single" w:sz="4" w:space="0" w:color="auto"/>
              <w:right w:val="single" w:sz="4" w:space="0" w:color="auto"/>
            </w:tcBorders>
          </w:tcPr>
          <w:p w14:paraId="1BD3885A" w14:textId="77777777" w:rsidR="00BA188A" w:rsidRPr="003F7085" w:rsidRDefault="00BA188A" w:rsidP="004D3E8F">
            <w:pPr>
              <w:spacing w:before="60" w:after="60"/>
              <w:jc w:val="center"/>
              <w:rPr>
                <w:rFonts w:ascii="Arial Narrow" w:hAnsi="Arial Narrow"/>
                <w:b/>
                <w:sz w:val="36"/>
                <w:szCs w:val="36"/>
              </w:rPr>
            </w:pPr>
            <w:r w:rsidRPr="003F7085">
              <w:rPr>
                <w:rFonts w:ascii="Arial Narrow" w:hAnsi="Arial Narrow"/>
                <w:b/>
                <w:sz w:val="36"/>
                <w:szCs w:val="36"/>
              </w:rPr>
              <w:t>Article</w:t>
            </w:r>
          </w:p>
        </w:tc>
        <w:tc>
          <w:tcPr>
            <w:tcW w:w="1080" w:type="dxa"/>
            <w:tcBorders>
              <w:top w:val="single" w:sz="4" w:space="0" w:color="auto"/>
              <w:left w:val="single" w:sz="4" w:space="0" w:color="auto"/>
              <w:bottom w:val="single" w:sz="4" w:space="0" w:color="auto"/>
              <w:right w:val="single" w:sz="4" w:space="0" w:color="auto"/>
            </w:tcBorders>
          </w:tcPr>
          <w:p w14:paraId="1D22951A" w14:textId="77777777" w:rsidR="00BA188A" w:rsidRPr="003F7085" w:rsidRDefault="00BA188A" w:rsidP="004D3E8F">
            <w:pPr>
              <w:spacing w:before="60" w:after="60"/>
              <w:jc w:val="center"/>
              <w:rPr>
                <w:rFonts w:ascii="Arial Narrow" w:hAnsi="Arial Narrow"/>
                <w:b/>
                <w:sz w:val="36"/>
                <w:szCs w:val="36"/>
              </w:rPr>
            </w:pPr>
            <w:r w:rsidRPr="003F7085">
              <w:rPr>
                <w:rFonts w:ascii="Arial Narrow" w:hAnsi="Arial Narrow"/>
                <w:b/>
                <w:sz w:val="36"/>
                <w:szCs w:val="36"/>
              </w:rPr>
              <w:t>Section</w:t>
            </w:r>
          </w:p>
        </w:tc>
        <w:tc>
          <w:tcPr>
            <w:tcW w:w="3550" w:type="dxa"/>
            <w:tcBorders>
              <w:top w:val="single" w:sz="4" w:space="0" w:color="auto"/>
              <w:left w:val="single" w:sz="4" w:space="0" w:color="auto"/>
              <w:bottom w:val="single" w:sz="4" w:space="0" w:color="auto"/>
              <w:right w:val="single" w:sz="4" w:space="0" w:color="auto"/>
            </w:tcBorders>
          </w:tcPr>
          <w:p w14:paraId="52BEC6F5" w14:textId="77777777" w:rsidR="00BA188A" w:rsidRPr="003F7085" w:rsidRDefault="00BA188A" w:rsidP="004D3E8F">
            <w:pPr>
              <w:spacing w:before="60" w:after="60"/>
              <w:jc w:val="center"/>
              <w:rPr>
                <w:rFonts w:ascii="Arial Narrow" w:hAnsi="Arial Narrow"/>
                <w:b/>
                <w:sz w:val="36"/>
                <w:szCs w:val="36"/>
              </w:rPr>
            </w:pPr>
            <w:r w:rsidRPr="003F7085">
              <w:rPr>
                <w:rFonts w:ascii="Arial Narrow" w:hAnsi="Arial Narrow"/>
                <w:b/>
                <w:sz w:val="36"/>
                <w:szCs w:val="36"/>
              </w:rPr>
              <w:t>Proposed by</w:t>
            </w:r>
          </w:p>
        </w:tc>
      </w:tr>
      <w:tr w:rsidR="00BA188A" w:rsidRPr="003F7085" w14:paraId="4DF56E0B" w14:textId="77777777" w:rsidTr="00AE73E5">
        <w:trPr>
          <w:trHeight w:val="288"/>
          <w:jc w:val="center"/>
        </w:trPr>
        <w:tc>
          <w:tcPr>
            <w:tcW w:w="1174" w:type="dxa"/>
            <w:tcBorders>
              <w:top w:val="nil"/>
            </w:tcBorders>
            <w:vAlign w:val="center"/>
          </w:tcPr>
          <w:p w14:paraId="63C7BC25" w14:textId="64E449FE" w:rsidR="00BA188A" w:rsidRPr="003F7085" w:rsidRDefault="00610671" w:rsidP="004D3E8F">
            <w:pPr>
              <w:spacing w:before="60" w:after="60"/>
              <w:jc w:val="center"/>
              <w:rPr>
                <w:rFonts w:ascii="Arial Narrow" w:hAnsi="Arial Narrow"/>
                <w:b/>
                <w:sz w:val="36"/>
                <w:szCs w:val="36"/>
              </w:rPr>
            </w:pPr>
            <w:r w:rsidRPr="003F7085">
              <w:rPr>
                <w:rFonts w:ascii="Arial Narrow" w:hAnsi="Arial Narrow"/>
                <w:b/>
                <w:sz w:val="36"/>
                <w:szCs w:val="36"/>
              </w:rPr>
              <w:t>240</w:t>
            </w:r>
            <w:r w:rsidR="0031643D" w:rsidRPr="003F7085">
              <w:rPr>
                <w:rFonts w:ascii="Arial Narrow" w:hAnsi="Arial Narrow"/>
                <w:b/>
                <w:sz w:val="36"/>
                <w:szCs w:val="36"/>
              </w:rPr>
              <w:t>2</w:t>
            </w:r>
          </w:p>
        </w:tc>
        <w:tc>
          <w:tcPr>
            <w:tcW w:w="4991" w:type="dxa"/>
            <w:tcBorders>
              <w:top w:val="nil"/>
            </w:tcBorders>
            <w:vAlign w:val="center"/>
          </w:tcPr>
          <w:p w14:paraId="0089C092" w14:textId="21B05E86" w:rsidR="00BA188A" w:rsidRPr="003F7085" w:rsidRDefault="0031643D" w:rsidP="004D3E8F">
            <w:pPr>
              <w:spacing w:before="60" w:after="60"/>
              <w:jc w:val="center"/>
              <w:rPr>
                <w:rFonts w:ascii="Arial Narrow" w:hAnsi="Arial Narrow"/>
                <w:b/>
                <w:sz w:val="36"/>
                <w:szCs w:val="36"/>
              </w:rPr>
            </w:pPr>
            <w:r w:rsidRPr="003F7085">
              <w:rPr>
                <w:rFonts w:ascii="Arial Narrow" w:hAnsi="Arial Narrow"/>
                <w:b/>
                <w:sz w:val="36"/>
                <w:szCs w:val="36"/>
              </w:rPr>
              <w:t>Institutes</w:t>
            </w:r>
          </w:p>
        </w:tc>
        <w:tc>
          <w:tcPr>
            <w:tcW w:w="1530" w:type="dxa"/>
            <w:tcBorders>
              <w:top w:val="nil"/>
            </w:tcBorders>
            <w:vAlign w:val="center"/>
          </w:tcPr>
          <w:p w14:paraId="3FAD4E72" w14:textId="292FAB03" w:rsidR="00BA188A" w:rsidRPr="003F7085" w:rsidRDefault="009076A6" w:rsidP="004D3E8F">
            <w:pPr>
              <w:spacing w:after="60"/>
              <w:jc w:val="center"/>
              <w:rPr>
                <w:rFonts w:ascii="Arial Narrow" w:hAnsi="Arial Narrow"/>
                <w:b/>
                <w:sz w:val="36"/>
                <w:szCs w:val="36"/>
              </w:rPr>
            </w:pPr>
            <w:r w:rsidRPr="003F7085">
              <w:rPr>
                <w:rFonts w:ascii="Arial Narrow" w:hAnsi="Arial Narrow"/>
                <w:b/>
                <w:sz w:val="36"/>
                <w:szCs w:val="36"/>
              </w:rPr>
              <w:t>IX</w:t>
            </w:r>
          </w:p>
        </w:tc>
        <w:tc>
          <w:tcPr>
            <w:tcW w:w="1080" w:type="dxa"/>
            <w:tcBorders>
              <w:top w:val="nil"/>
            </w:tcBorders>
            <w:vAlign w:val="center"/>
          </w:tcPr>
          <w:p w14:paraId="76A74819" w14:textId="24C05A06" w:rsidR="00BA188A" w:rsidRPr="003F7085" w:rsidRDefault="00BA188A" w:rsidP="004D3E8F">
            <w:pPr>
              <w:spacing w:after="60"/>
              <w:jc w:val="center"/>
              <w:rPr>
                <w:rFonts w:ascii="Arial Narrow" w:hAnsi="Arial Narrow"/>
                <w:b/>
                <w:sz w:val="36"/>
                <w:szCs w:val="36"/>
              </w:rPr>
            </w:pPr>
          </w:p>
        </w:tc>
        <w:tc>
          <w:tcPr>
            <w:tcW w:w="3550" w:type="dxa"/>
            <w:tcBorders>
              <w:top w:val="nil"/>
            </w:tcBorders>
            <w:vAlign w:val="center"/>
          </w:tcPr>
          <w:p w14:paraId="0A85E6D7" w14:textId="781F7E05" w:rsidR="00BA188A" w:rsidRPr="003F7085" w:rsidRDefault="00AE73E5" w:rsidP="00A84E33">
            <w:pPr>
              <w:spacing w:before="60"/>
              <w:jc w:val="center"/>
              <w:rPr>
                <w:rFonts w:ascii="Arial Narrow" w:hAnsi="Arial Narrow"/>
                <w:b/>
                <w:sz w:val="36"/>
                <w:szCs w:val="36"/>
              </w:rPr>
            </w:pPr>
            <w:r w:rsidRPr="003F7085">
              <w:rPr>
                <w:rFonts w:ascii="Arial Narrow" w:hAnsi="Arial Narrow"/>
                <w:b/>
                <w:sz w:val="36"/>
                <w:szCs w:val="36"/>
              </w:rPr>
              <w:t>ACAPT Board of Directors</w:t>
            </w:r>
          </w:p>
        </w:tc>
      </w:tr>
    </w:tbl>
    <w:p w14:paraId="723F593C" w14:textId="1C6BF206" w:rsidR="00BA188A" w:rsidRPr="00297E88" w:rsidRDefault="00BA188A" w:rsidP="00901031">
      <w:pPr>
        <w:tabs>
          <w:tab w:val="left" w:leader="underscore" w:pos="1620"/>
          <w:tab w:val="left" w:pos="1980"/>
          <w:tab w:val="left" w:leader="underscore" w:pos="3600"/>
          <w:tab w:val="left" w:pos="3960"/>
          <w:tab w:val="left" w:leader="underscore" w:pos="5940"/>
          <w:tab w:val="left" w:pos="6300"/>
          <w:tab w:val="left" w:leader="underscore" w:pos="7560"/>
          <w:tab w:val="left" w:pos="7920"/>
          <w:tab w:val="left" w:leader="underscore" w:pos="9180"/>
        </w:tabs>
        <w:spacing w:after="60"/>
        <w:ind w:right="-446"/>
        <w:rPr>
          <w:rFonts w:ascii="Bookman Old Style" w:hAnsi="Bookman Old Style"/>
          <w:bCs/>
          <w:i/>
          <w:smallCaps/>
          <w:sz w:val="12"/>
          <w:szCs w:val="12"/>
          <w:u w:val="single"/>
        </w:rPr>
      </w:pPr>
    </w:p>
    <w:p w14:paraId="10D78AB9" w14:textId="77777777" w:rsidR="00BA188A" w:rsidRDefault="00BA188A" w:rsidP="00901031">
      <w:pPr>
        <w:tabs>
          <w:tab w:val="left" w:leader="underscore" w:pos="1620"/>
          <w:tab w:val="left" w:pos="1980"/>
          <w:tab w:val="left" w:leader="underscore" w:pos="3600"/>
          <w:tab w:val="left" w:pos="3960"/>
          <w:tab w:val="left" w:leader="underscore" w:pos="5940"/>
          <w:tab w:val="left" w:pos="6300"/>
          <w:tab w:val="left" w:leader="underscore" w:pos="7560"/>
          <w:tab w:val="left" w:pos="7920"/>
          <w:tab w:val="left" w:leader="underscore" w:pos="9180"/>
        </w:tabs>
        <w:spacing w:after="60"/>
        <w:ind w:right="-446"/>
        <w:rPr>
          <w:rFonts w:ascii="Bookman Old Style" w:hAnsi="Bookman Old Style"/>
          <w:b/>
          <w:i/>
          <w:smallCaps/>
          <w:sz w:val="12"/>
          <w:szCs w:val="12"/>
        </w:rPr>
      </w:pPr>
    </w:p>
    <w:p w14:paraId="4C34B322" w14:textId="16E9E3B9" w:rsidR="003F7085" w:rsidRDefault="003F7085">
      <w:pPr>
        <w:rPr>
          <w:rFonts w:ascii="Bookman Old Style" w:hAnsi="Bookman Old Style"/>
          <w:b/>
          <w:i/>
          <w:smallCaps/>
          <w:sz w:val="12"/>
          <w:szCs w:val="12"/>
        </w:rPr>
      </w:pPr>
      <w:r>
        <w:rPr>
          <w:rFonts w:ascii="Bookman Old Style" w:hAnsi="Bookman Old Style"/>
          <w:b/>
          <w:i/>
          <w:smallCaps/>
          <w:sz w:val="12"/>
          <w:szCs w:val="12"/>
        </w:rPr>
        <w:br w:type="page"/>
      </w:r>
    </w:p>
    <w:p w14:paraId="25D1F7FE" w14:textId="77777777" w:rsidR="00BA188A" w:rsidRDefault="00BA188A" w:rsidP="00901031">
      <w:pPr>
        <w:tabs>
          <w:tab w:val="left" w:leader="underscore" w:pos="1620"/>
          <w:tab w:val="left" w:pos="1980"/>
          <w:tab w:val="left" w:leader="underscore" w:pos="3600"/>
          <w:tab w:val="left" w:pos="3960"/>
          <w:tab w:val="left" w:leader="underscore" w:pos="5940"/>
          <w:tab w:val="left" w:pos="6300"/>
          <w:tab w:val="left" w:leader="underscore" w:pos="7560"/>
          <w:tab w:val="left" w:pos="7920"/>
          <w:tab w:val="left" w:leader="underscore" w:pos="9180"/>
        </w:tabs>
        <w:spacing w:after="60"/>
        <w:ind w:right="-446"/>
        <w:rPr>
          <w:rFonts w:ascii="Bookman Old Style" w:hAnsi="Bookman Old Style"/>
          <w:b/>
          <w:i/>
          <w:smallCaps/>
          <w:sz w:val="12"/>
          <w:szCs w:val="12"/>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0"/>
      </w:tblGrid>
      <w:tr w:rsidR="003F7085" w:rsidRPr="006F11C0" w14:paraId="17C74C4C" w14:textId="0D91787F" w:rsidTr="003F7085">
        <w:trPr>
          <w:jc w:val="center"/>
        </w:trPr>
        <w:tc>
          <w:tcPr>
            <w:tcW w:w="14400" w:type="dxa"/>
          </w:tcPr>
          <w:p w14:paraId="43AB256B" w14:textId="6B1C1609" w:rsidR="003F7085" w:rsidRPr="00BB3ABB" w:rsidRDefault="003F7085" w:rsidP="00BB3ABB">
            <w:pPr>
              <w:tabs>
                <w:tab w:val="left" w:pos="360"/>
              </w:tabs>
              <w:ind w:right="72"/>
              <w:rPr>
                <w:rFonts w:ascii="Arial Narrow" w:hAnsi="Arial Narrow"/>
                <w:b/>
                <w:bCs/>
                <w:i/>
                <w:sz w:val="22"/>
                <w:szCs w:val="22"/>
                <w:u w:val="single"/>
              </w:rPr>
            </w:pPr>
            <w:r>
              <w:rPr>
                <w:rFonts w:ascii="Arial Narrow" w:hAnsi="Arial Narrow"/>
                <w:b/>
                <w:bCs/>
                <w:i/>
                <w:sz w:val="22"/>
                <w:szCs w:val="22"/>
                <w:u w:val="single"/>
              </w:rPr>
              <w:t>Strike entire Article IX (Consortia) and insert the following:</w:t>
            </w:r>
          </w:p>
        </w:tc>
      </w:tr>
      <w:tr w:rsidR="003F7085" w:rsidRPr="006F11C0" w14:paraId="07B1B19A" w14:textId="3F25AC41" w:rsidTr="003F7085">
        <w:trPr>
          <w:jc w:val="center"/>
        </w:trPr>
        <w:tc>
          <w:tcPr>
            <w:tcW w:w="14400" w:type="dxa"/>
            <w:shd w:val="clear" w:color="auto" w:fill="DEEAF6"/>
          </w:tcPr>
          <w:p w14:paraId="53C6AB97" w14:textId="77777777" w:rsidR="003F7085" w:rsidRPr="009E5F5C" w:rsidRDefault="003F7085" w:rsidP="00D027E3">
            <w:pPr>
              <w:ind w:right="72"/>
              <w:rPr>
                <w:rFonts w:ascii="Arial Narrow" w:hAnsi="Arial Narrow"/>
                <w:b/>
                <w:i/>
                <w:sz w:val="20"/>
                <w:u w:val="single"/>
              </w:rPr>
            </w:pPr>
          </w:p>
        </w:tc>
      </w:tr>
      <w:tr w:rsidR="003F7085" w:rsidRPr="006F11C0" w14:paraId="5ED5C5BA" w14:textId="01E62201" w:rsidTr="003F7085">
        <w:trPr>
          <w:jc w:val="center"/>
        </w:trPr>
        <w:tc>
          <w:tcPr>
            <w:tcW w:w="14400" w:type="dxa"/>
          </w:tcPr>
          <w:p w14:paraId="5F2A4E37" w14:textId="77777777" w:rsidR="003F7085" w:rsidRPr="003F7085" w:rsidRDefault="003F7085" w:rsidP="00BB3ABB">
            <w:pPr>
              <w:ind w:right="72"/>
              <w:rPr>
                <w:rFonts w:ascii="Arial Narrow" w:hAnsi="Arial Narrow"/>
                <w:iCs/>
                <w:sz w:val="22"/>
                <w:szCs w:val="22"/>
              </w:rPr>
            </w:pPr>
            <w:r w:rsidRPr="003F7085">
              <w:rPr>
                <w:rFonts w:ascii="Arial Narrow" w:hAnsi="Arial Narrow"/>
                <w:iCs/>
                <w:sz w:val="22"/>
                <w:szCs w:val="22"/>
              </w:rPr>
              <w:t>Article IX, Institutes</w:t>
            </w:r>
          </w:p>
          <w:p w14:paraId="3C15000B" w14:textId="77777777" w:rsidR="003F7085" w:rsidRPr="003F7085" w:rsidRDefault="003F7085" w:rsidP="00BB3ABB">
            <w:pPr>
              <w:ind w:right="72"/>
              <w:rPr>
                <w:rFonts w:ascii="Arial Narrow" w:hAnsi="Arial Narrow"/>
                <w:iCs/>
                <w:sz w:val="22"/>
                <w:szCs w:val="22"/>
              </w:rPr>
            </w:pPr>
          </w:p>
          <w:p w14:paraId="2E5E63FD" w14:textId="77777777" w:rsidR="003F7085" w:rsidRPr="003F7085" w:rsidRDefault="003F7085" w:rsidP="00BB3ABB">
            <w:pPr>
              <w:ind w:right="72"/>
              <w:rPr>
                <w:rFonts w:ascii="Arial Narrow" w:hAnsi="Arial Narrow"/>
                <w:iCs/>
                <w:sz w:val="22"/>
                <w:szCs w:val="22"/>
              </w:rPr>
            </w:pPr>
            <w:r w:rsidRPr="003F7085">
              <w:rPr>
                <w:rFonts w:ascii="Arial Narrow" w:hAnsi="Arial Narrow"/>
                <w:iCs/>
                <w:sz w:val="22"/>
                <w:szCs w:val="22"/>
              </w:rPr>
              <w:t>Section 1. Definition</w:t>
            </w:r>
          </w:p>
          <w:p w14:paraId="5D3E611D" w14:textId="77777777" w:rsidR="003F7085" w:rsidRPr="003F7085" w:rsidRDefault="003F7085" w:rsidP="00BB3ABB">
            <w:pPr>
              <w:ind w:right="72"/>
              <w:rPr>
                <w:rFonts w:ascii="Arial Narrow" w:hAnsi="Arial Narrow"/>
                <w:iCs/>
                <w:sz w:val="22"/>
                <w:szCs w:val="22"/>
              </w:rPr>
            </w:pPr>
            <w:r w:rsidRPr="003F7085">
              <w:rPr>
                <w:rFonts w:ascii="Arial Narrow" w:hAnsi="Arial Narrow"/>
                <w:iCs/>
                <w:sz w:val="22"/>
                <w:szCs w:val="22"/>
              </w:rPr>
              <w:t>There shall be four institutes:</w:t>
            </w:r>
          </w:p>
          <w:p w14:paraId="13537D61" w14:textId="77777777" w:rsidR="003F7085" w:rsidRPr="003F7085" w:rsidRDefault="003F7085" w:rsidP="00297E88">
            <w:pPr>
              <w:numPr>
                <w:ilvl w:val="0"/>
                <w:numId w:val="1"/>
              </w:numPr>
              <w:ind w:right="72"/>
              <w:rPr>
                <w:rFonts w:ascii="Arial Narrow" w:hAnsi="Arial Narrow"/>
                <w:iCs/>
                <w:sz w:val="22"/>
                <w:szCs w:val="22"/>
              </w:rPr>
            </w:pPr>
            <w:r w:rsidRPr="003F7085">
              <w:rPr>
                <w:rFonts w:ascii="Arial Narrow" w:hAnsi="Arial Narrow"/>
                <w:iCs/>
                <w:sz w:val="22"/>
                <w:szCs w:val="22"/>
              </w:rPr>
              <w:t>Academic Advancement</w:t>
            </w:r>
          </w:p>
          <w:p w14:paraId="214E641E" w14:textId="77777777" w:rsidR="003F7085" w:rsidRPr="003F7085" w:rsidRDefault="003F7085" w:rsidP="00297E88">
            <w:pPr>
              <w:numPr>
                <w:ilvl w:val="0"/>
                <w:numId w:val="1"/>
              </w:numPr>
              <w:ind w:right="72"/>
              <w:rPr>
                <w:rFonts w:ascii="Arial Narrow" w:hAnsi="Arial Narrow"/>
                <w:iCs/>
                <w:sz w:val="22"/>
                <w:szCs w:val="22"/>
              </w:rPr>
            </w:pPr>
            <w:r w:rsidRPr="003F7085">
              <w:rPr>
                <w:rFonts w:ascii="Arial Narrow" w:hAnsi="Arial Narrow"/>
                <w:iCs/>
                <w:sz w:val="22"/>
                <w:szCs w:val="22"/>
              </w:rPr>
              <w:t>Teaching &amp; Learning</w:t>
            </w:r>
          </w:p>
          <w:p w14:paraId="174F8DFC" w14:textId="7A3447F5" w:rsidR="003F7085" w:rsidRPr="003F7085" w:rsidRDefault="003F7085" w:rsidP="00297E88">
            <w:pPr>
              <w:numPr>
                <w:ilvl w:val="0"/>
                <w:numId w:val="1"/>
              </w:numPr>
              <w:ind w:right="72"/>
              <w:rPr>
                <w:rFonts w:ascii="Arial Narrow" w:hAnsi="Arial Narrow"/>
                <w:iCs/>
                <w:sz w:val="22"/>
                <w:szCs w:val="22"/>
              </w:rPr>
            </w:pPr>
            <w:r w:rsidRPr="003F7085">
              <w:rPr>
                <w:rFonts w:ascii="Arial Narrow" w:hAnsi="Arial Narrow"/>
                <w:iCs/>
                <w:sz w:val="22"/>
                <w:szCs w:val="22"/>
              </w:rPr>
              <w:t>Scholarly Inquiry</w:t>
            </w:r>
          </w:p>
          <w:p w14:paraId="2B28D39A" w14:textId="77777777" w:rsidR="003F7085" w:rsidRPr="003F7085" w:rsidRDefault="003F7085" w:rsidP="00297E88">
            <w:pPr>
              <w:numPr>
                <w:ilvl w:val="0"/>
                <w:numId w:val="1"/>
              </w:numPr>
              <w:ind w:right="72"/>
              <w:rPr>
                <w:rFonts w:ascii="Arial Narrow" w:hAnsi="Arial Narrow"/>
                <w:iCs/>
                <w:sz w:val="22"/>
                <w:szCs w:val="22"/>
              </w:rPr>
            </w:pPr>
            <w:r w:rsidRPr="003F7085">
              <w:rPr>
                <w:rFonts w:ascii="Arial Narrow" w:hAnsi="Arial Narrow"/>
                <w:iCs/>
                <w:sz w:val="22"/>
                <w:szCs w:val="22"/>
              </w:rPr>
              <w:t>Community Engagement</w:t>
            </w:r>
          </w:p>
          <w:p w14:paraId="3B978A1B" w14:textId="77777777" w:rsidR="003F7085" w:rsidRPr="003F7085" w:rsidRDefault="003F7085" w:rsidP="00297E88">
            <w:pPr>
              <w:ind w:right="72"/>
              <w:rPr>
                <w:rFonts w:ascii="Arial Narrow" w:hAnsi="Arial Narrow"/>
                <w:iCs/>
                <w:sz w:val="22"/>
                <w:szCs w:val="22"/>
              </w:rPr>
            </w:pPr>
          </w:p>
          <w:p w14:paraId="3BE27FC9" w14:textId="7DD9AAE7" w:rsidR="003F7085" w:rsidRPr="003F7085" w:rsidRDefault="003F7085" w:rsidP="00ED6EF2">
            <w:pPr>
              <w:ind w:right="72"/>
              <w:rPr>
                <w:rFonts w:ascii="Arial Narrow" w:hAnsi="Arial Narrow"/>
                <w:iCs/>
                <w:sz w:val="22"/>
                <w:szCs w:val="22"/>
              </w:rPr>
            </w:pPr>
            <w:r w:rsidRPr="003F7085">
              <w:rPr>
                <w:rFonts w:ascii="Arial Narrow" w:hAnsi="Arial Narrow"/>
                <w:iCs/>
                <w:sz w:val="22"/>
                <w:szCs w:val="22"/>
              </w:rPr>
              <w:t xml:space="preserve">Each institute shall have a chair and vice chair elected by the Representatives to coordinate its activities.  The chair and vice chair shall be an academic or clinical education faculty in good standing of a Member Institution. The term shall be for one year and shall commence at the close of the Annual Meeting of the Representatives of the Member Institutions in the year in which </w:t>
            </w:r>
            <w:proofErr w:type="gramStart"/>
            <w:r w:rsidRPr="003F7085">
              <w:rPr>
                <w:rFonts w:ascii="Arial Narrow" w:hAnsi="Arial Narrow"/>
                <w:iCs/>
                <w:sz w:val="22"/>
                <w:szCs w:val="22"/>
              </w:rPr>
              <w:t>elected</w:t>
            </w:r>
            <w:proofErr w:type="gramEnd"/>
            <w:r w:rsidRPr="003F7085">
              <w:rPr>
                <w:rFonts w:ascii="Arial Narrow" w:hAnsi="Arial Narrow"/>
                <w:iCs/>
                <w:sz w:val="22"/>
                <w:szCs w:val="22"/>
              </w:rPr>
              <w:t xml:space="preserve">. Following completion of a term as vice chair, the vice chair shall automatically assume the position of chair. No member shall be elected to successive complete terms. </w:t>
            </w:r>
          </w:p>
          <w:p w14:paraId="7B4D066D" w14:textId="77777777" w:rsidR="003F7085" w:rsidRPr="003F7085" w:rsidRDefault="003F7085" w:rsidP="00ED6EF2">
            <w:pPr>
              <w:ind w:left="720" w:right="72"/>
              <w:rPr>
                <w:rFonts w:ascii="Arial Narrow" w:hAnsi="Arial Narrow"/>
                <w:i/>
                <w:sz w:val="22"/>
                <w:szCs w:val="22"/>
              </w:rPr>
            </w:pPr>
            <w:r w:rsidRPr="003F7085">
              <w:rPr>
                <w:rFonts w:ascii="Arial Narrow" w:hAnsi="Arial Narrow"/>
                <w:i/>
                <w:sz w:val="22"/>
                <w:szCs w:val="22"/>
              </w:rPr>
              <w:t xml:space="preserve">Proviso:  The inaugural Chair will serve a term of two </w:t>
            </w:r>
            <w:proofErr w:type="gramStart"/>
            <w:r w:rsidRPr="003F7085">
              <w:rPr>
                <w:rFonts w:ascii="Arial Narrow" w:hAnsi="Arial Narrow"/>
                <w:i/>
                <w:sz w:val="22"/>
                <w:szCs w:val="22"/>
              </w:rPr>
              <w:t>years</w:t>
            </w:r>
            <w:proofErr w:type="gramEnd"/>
            <w:r w:rsidRPr="003F7085">
              <w:rPr>
                <w:rFonts w:ascii="Arial Narrow" w:hAnsi="Arial Narrow"/>
                <w:i/>
                <w:sz w:val="22"/>
                <w:szCs w:val="22"/>
              </w:rPr>
              <w:t xml:space="preserve"> and the inaugural Vice Chair will serve a total of three years, two (2) as Vice Chair and (one) as Chair. Successive elections shall be only for the Vice Chair position. </w:t>
            </w:r>
          </w:p>
          <w:p w14:paraId="54FC7D94" w14:textId="77777777" w:rsidR="003F7085" w:rsidRPr="003F7085" w:rsidRDefault="003F7085" w:rsidP="00ED6EF2">
            <w:pPr>
              <w:ind w:right="72"/>
              <w:rPr>
                <w:rFonts w:ascii="Arial Narrow" w:hAnsi="Arial Narrow"/>
                <w:iCs/>
                <w:sz w:val="22"/>
                <w:szCs w:val="22"/>
              </w:rPr>
            </w:pPr>
          </w:p>
          <w:p w14:paraId="756A8BE0" w14:textId="1084F6F4" w:rsidR="003F7085" w:rsidRPr="003F7085" w:rsidRDefault="003F7085" w:rsidP="008F191D">
            <w:pPr>
              <w:tabs>
                <w:tab w:val="left" w:pos="371"/>
              </w:tabs>
              <w:ind w:left="381" w:right="72" w:hanging="381"/>
              <w:rPr>
                <w:rFonts w:ascii="Arial Narrow" w:hAnsi="Arial Narrow"/>
                <w:iCs/>
                <w:sz w:val="22"/>
                <w:szCs w:val="22"/>
              </w:rPr>
            </w:pPr>
            <w:r w:rsidRPr="003F7085">
              <w:rPr>
                <w:rFonts w:ascii="Arial Narrow" w:hAnsi="Arial Narrow"/>
                <w:iCs/>
                <w:sz w:val="22"/>
                <w:szCs w:val="22"/>
              </w:rPr>
              <w:t>A.</w:t>
            </w:r>
            <w:r w:rsidRPr="003F7085">
              <w:rPr>
                <w:rFonts w:ascii="Arial Narrow" w:hAnsi="Arial Narrow"/>
                <w:iCs/>
                <w:sz w:val="22"/>
                <w:szCs w:val="22"/>
              </w:rPr>
              <w:tab/>
              <w:t xml:space="preserve">The Institute of Academic Advancement shall support and promote institutional characteristics that reflect an intentional pursuit of excellence. This Institute </w:t>
            </w:r>
            <w:r w:rsidR="00C15E3C" w:rsidRPr="008725CB">
              <w:rPr>
                <w:rFonts w:ascii="Arial Narrow" w:hAnsi="Arial Narrow"/>
                <w:iCs/>
                <w:sz w:val="22"/>
                <w:szCs w:val="22"/>
              </w:rPr>
              <w:t>shall</w:t>
            </w:r>
            <w:r w:rsidR="00C15E3C">
              <w:rPr>
                <w:rFonts w:ascii="Arial Narrow" w:hAnsi="Arial Narrow"/>
                <w:iCs/>
                <w:sz w:val="22"/>
                <w:szCs w:val="22"/>
              </w:rPr>
              <w:t xml:space="preserve"> </w:t>
            </w:r>
            <w:r w:rsidRPr="003F7085">
              <w:rPr>
                <w:rFonts w:ascii="Arial Narrow" w:hAnsi="Arial Narrow"/>
                <w:iCs/>
                <w:sz w:val="22"/>
                <w:szCs w:val="22"/>
              </w:rPr>
              <w:t>encourage institutional programmatic and clinical development; foster leadership excellence; advance diversity, equity, and inclusion; and facilitate programmatic innovation.</w:t>
            </w:r>
          </w:p>
          <w:p w14:paraId="13850CE9" w14:textId="77777777" w:rsidR="003F7085" w:rsidRPr="003F7085" w:rsidRDefault="003F7085" w:rsidP="008F191D">
            <w:pPr>
              <w:tabs>
                <w:tab w:val="left" w:pos="371"/>
              </w:tabs>
              <w:ind w:left="381" w:right="72" w:hanging="381"/>
              <w:rPr>
                <w:rFonts w:ascii="Arial Narrow" w:hAnsi="Arial Narrow"/>
                <w:iCs/>
                <w:sz w:val="22"/>
                <w:szCs w:val="22"/>
              </w:rPr>
            </w:pPr>
            <w:r w:rsidRPr="003F7085">
              <w:rPr>
                <w:rFonts w:ascii="Arial Narrow" w:hAnsi="Arial Narrow"/>
                <w:iCs/>
                <w:sz w:val="22"/>
                <w:szCs w:val="22"/>
              </w:rPr>
              <w:t>B.</w:t>
            </w:r>
            <w:r w:rsidRPr="003F7085">
              <w:rPr>
                <w:rFonts w:ascii="Arial Narrow" w:hAnsi="Arial Narrow"/>
                <w:iCs/>
                <w:sz w:val="22"/>
                <w:szCs w:val="22"/>
              </w:rPr>
              <w:tab/>
              <w:t>The Institute of Teaching &amp; Learning shall support and promote curricular attributes that ensure outcomes of educational excellence. This Institute will help to encourage institutional educational excellence; facilitate excellence in clinical education; foster curricular innovation; advance educational technology; and integrate professional formation.</w:t>
            </w:r>
          </w:p>
          <w:p w14:paraId="724CF5EC" w14:textId="5802A470" w:rsidR="003F7085" w:rsidRPr="003F7085" w:rsidRDefault="003F7085" w:rsidP="008F191D">
            <w:pPr>
              <w:tabs>
                <w:tab w:val="left" w:pos="371"/>
              </w:tabs>
              <w:ind w:left="381" w:right="72" w:hanging="381"/>
              <w:rPr>
                <w:rFonts w:ascii="Arial Narrow" w:hAnsi="Arial Narrow"/>
                <w:iCs/>
                <w:sz w:val="22"/>
                <w:szCs w:val="22"/>
              </w:rPr>
            </w:pPr>
            <w:r w:rsidRPr="003F7085">
              <w:rPr>
                <w:rFonts w:ascii="Arial Narrow" w:hAnsi="Arial Narrow"/>
                <w:iCs/>
                <w:sz w:val="22"/>
                <w:szCs w:val="22"/>
              </w:rPr>
              <w:t>C.</w:t>
            </w:r>
            <w:r w:rsidRPr="003F7085">
              <w:rPr>
                <w:rFonts w:ascii="Arial Narrow" w:hAnsi="Arial Narrow"/>
                <w:iCs/>
                <w:sz w:val="22"/>
                <w:szCs w:val="22"/>
              </w:rPr>
              <w:tab/>
              <w:t xml:space="preserve">The Institute of Scholarly Inquiry shall cultivate a culture of scholarship and research and ongoing assessment of outcomes in academic programs. This Institute </w:t>
            </w:r>
            <w:r w:rsidR="00C15E3C" w:rsidRPr="008725CB">
              <w:rPr>
                <w:rFonts w:ascii="Arial Narrow" w:hAnsi="Arial Narrow"/>
                <w:iCs/>
                <w:sz w:val="22"/>
                <w:szCs w:val="22"/>
              </w:rPr>
              <w:t>shall</w:t>
            </w:r>
            <w:r w:rsidR="00C15E3C">
              <w:rPr>
                <w:rFonts w:ascii="Arial Narrow" w:hAnsi="Arial Narrow"/>
                <w:iCs/>
                <w:sz w:val="22"/>
                <w:szCs w:val="22"/>
              </w:rPr>
              <w:t xml:space="preserve"> </w:t>
            </w:r>
            <w:r w:rsidRPr="003F7085">
              <w:rPr>
                <w:rFonts w:ascii="Arial Narrow" w:hAnsi="Arial Narrow"/>
                <w:iCs/>
                <w:sz w:val="22"/>
                <w:szCs w:val="22"/>
              </w:rPr>
              <w:t>support scientific research to grow the profession; encourage implementation of discoveries into practice and education; develop best practices for scientific, educational, and community-based research; cultivate research leadership and bolster educational preparation through research outcomes.</w:t>
            </w:r>
          </w:p>
          <w:p w14:paraId="27D23219" w14:textId="786B520F" w:rsidR="003F7085" w:rsidRPr="003F7085" w:rsidRDefault="003F7085" w:rsidP="008F191D">
            <w:pPr>
              <w:tabs>
                <w:tab w:val="left" w:pos="371"/>
              </w:tabs>
              <w:ind w:left="381" w:right="72" w:hanging="381"/>
              <w:rPr>
                <w:rFonts w:ascii="Arial Narrow" w:hAnsi="Arial Narrow"/>
                <w:iCs/>
                <w:sz w:val="22"/>
                <w:szCs w:val="22"/>
              </w:rPr>
            </w:pPr>
            <w:r w:rsidRPr="003F7085">
              <w:rPr>
                <w:rFonts w:ascii="Arial Narrow" w:hAnsi="Arial Narrow"/>
                <w:iCs/>
                <w:sz w:val="22"/>
                <w:szCs w:val="22"/>
              </w:rPr>
              <w:t>D.</w:t>
            </w:r>
            <w:r w:rsidRPr="003F7085">
              <w:rPr>
                <w:rFonts w:ascii="Arial Narrow" w:hAnsi="Arial Narrow"/>
                <w:iCs/>
                <w:sz w:val="22"/>
                <w:szCs w:val="22"/>
              </w:rPr>
              <w:tab/>
              <w:t xml:space="preserve">The Institute of Community Engagement shall support and promote community and stakeholder engagement in the shared pursuit of excellence. This Institute </w:t>
            </w:r>
            <w:r w:rsidR="00C15E3C" w:rsidRPr="008725CB">
              <w:rPr>
                <w:rFonts w:ascii="Arial Narrow" w:hAnsi="Arial Narrow"/>
                <w:iCs/>
                <w:sz w:val="22"/>
                <w:szCs w:val="22"/>
              </w:rPr>
              <w:t>shall</w:t>
            </w:r>
            <w:r w:rsidR="00C15E3C">
              <w:rPr>
                <w:rFonts w:ascii="Arial Narrow" w:hAnsi="Arial Narrow"/>
                <w:iCs/>
                <w:sz w:val="22"/>
                <w:szCs w:val="22"/>
              </w:rPr>
              <w:t xml:space="preserve"> </w:t>
            </w:r>
            <w:r w:rsidRPr="003F7085">
              <w:rPr>
                <w:rFonts w:ascii="Arial Narrow" w:hAnsi="Arial Narrow"/>
                <w:iCs/>
                <w:sz w:val="22"/>
                <w:szCs w:val="22"/>
              </w:rPr>
              <w:t>promote educational and clinical partnerships; engage in societal health and wellness; and enhance engagement across healthcare disciplines.</w:t>
            </w:r>
          </w:p>
          <w:p w14:paraId="250028D6" w14:textId="77777777" w:rsidR="003F7085" w:rsidRPr="003F7085" w:rsidRDefault="003F7085" w:rsidP="008F191D">
            <w:pPr>
              <w:tabs>
                <w:tab w:val="left" w:pos="371"/>
              </w:tabs>
              <w:ind w:left="381" w:right="72" w:hanging="381"/>
              <w:rPr>
                <w:rFonts w:ascii="Arial Narrow" w:hAnsi="Arial Narrow"/>
                <w:iCs/>
                <w:sz w:val="22"/>
                <w:szCs w:val="22"/>
              </w:rPr>
            </w:pPr>
          </w:p>
          <w:p w14:paraId="76F2777A" w14:textId="77777777" w:rsidR="003F7085" w:rsidRPr="003F7085" w:rsidRDefault="003F7085" w:rsidP="008F191D">
            <w:pPr>
              <w:tabs>
                <w:tab w:val="left" w:pos="371"/>
              </w:tabs>
              <w:ind w:left="381" w:right="72" w:hanging="381"/>
              <w:rPr>
                <w:rFonts w:ascii="Arial Narrow" w:hAnsi="Arial Narrow"/>
                <w:iCs/>
                <w:sz w:val="22"/>
                <w:szCs w:val="22"/>
              </w:rPr>
            </w:pPr>
            <w:r w:rsidRPr="003F7085">
              <w:rPr>
                <w:rFonts w:ascii="Arial Narrow" w:hAnsi="Arial Narrow"/>
                <w:iCs/>
                <w:sz w:val="22"/>
                <w:szCs w:val="22"/>
              </w:rPr>
              <w:t>Section 2. Vacancies.</w:t>
            </w:r>
          </w:p>
          <w:p w14:paraId="5E863CC2" w14:textId="488DF1DE" w:rsidR="003F7085" w:rsidRPr="003F7085" w:rsidRDefault="003F7085" w:rsidP="003F7085">
            <w:pPr>
              <w:tabs>
                <w:tab w:val="left" w:pos="371"/>
              </w:tabs>
              <w:ind w:left="-15" w:right="72" w:firstLine="15"/>
              <w:rPr>
                <w:rFonts w:ascii="Arial Narrow" w:hAnsi="Arial Narrow"/>
                <w:iCs/>
                <w:sz w:val="22"/>
                <w:szCs w:val="22"/>
              </w:rPr>
            </w:pPr>
            <w:r w:rsidRPr="003F7085">
              <w:rPr>
                <w:rFonts w:ascii="Arial Narrow" w:hAnsi="Arial Narrow"/>
                <w:iCs/>
                <w:sz w:val="22"/>
                <w:szCs w:val="22"/>
              </w:rPr>
              <w:t>Vacancies in the position of chair or vice chair shall be filled by appointment by the Board of Directors to fill the unexpired portion of the term.</w:t>
            </w:r>
          </w:p>
        </w:tc>
      </w:tr>
    </w:tbl>
    <w:p w14:paraId="77EFD40E" w14:textId="77777777" w:rsidR="002575D8" w:rsidRDefault="002575D8" w:rsidP="008725CB">
      <w:pPr>
        <w:rPr>
          <w:sz w:val="18"/>
        </w:rPr>
      </w:pPr>
    </w:p>
    <w:sectPr w:rsidR="002575D8" w:rsidSect="00CB15B9">
      <w:headerReference w:type="default" r:id="rId7"/>
      <w:footerReference w:type="default" r:id="rId8"/>
      <w:pgSz w:w="15840" w:h="12240" w:orient="landscape" w:code="1"/>
      <w:pgMar w:top="720" w:right="720" w:bottom="720"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D4FE1" w14:textId="77777777" w:rsidR="00CB15B9" w:rsidRDefault="00CB15B9">
      <w:r>
        <w:separator/>
      </w:r>
    </w:p>
  </w:endnote>
  <w:endnote w:type="continuationSeparator" w:id="0">
    <w:p w14:paraId="577CB284" w14:textId="77777777" w:rsidR="00CB15B9" w:rsidRDefault="00CB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F3E7" w14:textId="3C49D3C4" w:rsidR="00A2744A" w:rsidRDefault="00A2744A" w:rsidP="00827FFE">
    <w:pPr>
      <w:pStyle w:val="Pagexofyfooter"/>
      <w:ind w:left="0"/>
    </w:pPr>
    <w:r>
      <w:t>Proposed ACAPT Bylaws Amendment 240</w:t>
    </w:r>
    <w:r w:rsidR="00643F27">
      <w:t>2</w:t>
    </w:r>
  </w:p>
  <w:p w14:paraId="479E531C" w14:textId="390BE33A" w:rsidR="00071D33" w:rsidRDefault="00A2744A" w:rsidP="00827FFE">
    <w:pPr>
      <w:pStyle w:val="Pagexofyfooter"/>
      <w:ind w:left="0"/>
    </w:pPr>
    <w:r>
      <w:t>P</w:t>
    </w:r>
    <w:r w:rsidR="00071D33" w:rsidRPr="00071D33">
      <w:t xml:space="preserve">age </w:t>
    </w:r>
    <w:r w:rsidR="00071D33" w:rsidRPr="00071D33">
      <w:fldChar w:fldCharType="begin"/>
    </w:r>
    <w:r w:rsidR="00071D33" w:rsidRPr="00071D33">
      <w:instrText xml:space="preserve"> PAGE  \* Arabic  \* MERGEFORMAT </w:instrText>
    </w:r>
    <w:r w:rsidR="00071D33" w:rsidRPr="00071D33">
      <w:fldChar w:fldCharType="separate"/>
    </w:r>
    <w:r w:rsidR="00022AB6">
      <w:rPr>
        <w:noProof/>
      </w:rPr>
      <w:t>1</w:t>
    </w:r>
    <w:r w:rsidR="00071D33" w:rsidRPr="00071D33">
      <w:fldChar w:fldCharType="end"/>
    </w:r>
    <w:r w:rsidR="00071D33" w:rsidRPr="00071D33">
      <w:t xml:space="preserve"> of </w:t>
    </w:r>
    <w:r w:rsidR="008725CB">
      <w:fldChar w:fldCharType="begin"/>
    </w:r>
    <w:r w:rsidR="008725CB">
      <w:instrText xml:space="preserve"> NUMPAGES  \* Arabic  \* MERGEFORMAT </w:instrText>
    </w:r>
    <w:r w:rsidR="008725CB">
      <w:fldChar w:fldCharType="separate"/>
    </w:r>
    <w:r w:rsidR="00022AB6">
      <w:rPr>
        <w:noProof/>
      </w:rPr>
      <w:t>1</w:t>
    </w:r>
    <w:r w:rsidR="008725CB">
      <w:rPr>
        <w:noProof/>
      </w:rPr>
      <w:fldChar w:fldCharType="end"/>
    </w:r>
  </w:p>
  <w:p w14:paraId="1FE722D4" w14:textId="77777777" w:rsidR="00DC177E" w:rsidRPr="00071D33" w:rsidRDefault="0068793A" w:rsidP="00071D33">
    <w:pPr>
      <w:pStyle w:val="Pagexofyfooter"/>
    </w:pPr>
    <w:r>
      <w:t>v1</w:t>
    </w:r>
    <w:r w:rsidR="00DC177E">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EBB40" w14:textId="77777777" w:rsidR="00CB15B9" w:rsidRDefault="00CB15B9">
      <w:r>
        <w:separator/>
      </w:r>
    </w:p>
  </w:footnote>
  <w:footnote w:type="continuationSeparator" w:id="0">
    <w:p w14:paraId="4BB123EA" w14:textId="77777777" w:rsidR="00CB15B9" w:rsidRDefault="00CB1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452D5" w14:textId="77777777" w:rsidR="00A61B61" w:rsidRDefault="00A61B61" w:rsidP="00A61B61">
    <w:pPr>
      <w:pStyle w:val="Header"/>
      <w:jc w:val="center"/>
      <w:rPr>
        <w:rFonts w:ascii="Verdana" w:hAnsi="Verdana"/>
        <w:sz w:val="26"/>
        <w:szCs w:val="26"/>
      </w:rPr>
    </w:pPr>
  </w:p>
  <w:p w14:paraId="77C15705" w14:textId="77777777" w:rsidR="00C772BB" w:rsidRDefault="00C772BB" w:rsidP="00C772BB">
    <w:pPr>
      <w:pStyle w:val="Header"/>
      <w:jc w:val="center"/>
      <w:rPr>
        <w:rFonts w:ascii="Verdana" w:hAnsi="Verdana"/>
        <w:sz w:val="26"/>
        <w:szCs w:val="26"/>
      </w:rPr>
    </w:pPr>
    <w:r>
      <w:rPr>
        <w:rFonts w:ascii="Verdana" w:hAnsi="Verdana"/>
        <w:noProof/>
        <w:sz w:val="26"/>
        <w:szCs w:val="26"/>
      </w:rPr>
      <w:drawing>
        <wp:inline distT="0" distB="0" distL="0" distR="0" wp14:anchorId="262A456D" wp14:editId="3EB62696">
          <wp:extent cx="5103207" cy="1003690"/>
          <wp:effectExtent l="0" t="0" r="2540" b="6350"/>
          <wp:docPr id="17352333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333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167972" cy="1016428"/>
                  </a:xfrm>
                  <a:prstGeom prst="rect">
                    <a:avLst/>
                  </a:prstGeom>
                </pic:spPr>
              </pic:pic>
            </a:graphicData>
          </a:graphic>
        </wp:inline>
      </w:drawing>
    </w:r>
  </w:p>
  <w:p w14:paraId="4F34583F" w14:textId="77777777" w:rsidR="00C772BB" w:rsidRPr="00A61B61" w:rsidRDefault="00C772BB" w:rsidP="00C772BB">
    <w:pPr>
      <w:pStyle w:val="Header"/>
      <w:jc w:val="center"/>
      <w:rPr>
        <w:rFonts w:ascii="Verdana" w:hAnsi="Verdana"/>
        <w:sz w:val="26"/>
        <w:szCs w:val="26"/>
      </w:rPr>
    </w:pPr>
    <w:r>
      <w:rPr>
        <w:rFonts w:ascii="Verdana" w:hAnsi="Verdana"/>
        <w:sz w:val="26"/>
        <w:szCs w:val="26"/>
      </w:rPr>
      <w:t>Proposal to Amend Bylaws, 2024</w:t>
    </w:r>
  </w:p>
  <w:p w14:paraId="021AA866" w14:textId="2FE82432" w:rsidR="00A61B61" w:rsidRPr="00A61B61" w:rsidRDefault="00A61B61" w:rsidP="00C772BB">
    <w:pPr>
      <w:pStyle w:val="Header"/>
      <w:jc w:val="center"/>
      <w:rPr>
        <w:rFonts w:ascii="Verdana" w:hAnsi="Verdana"/>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81F6D"/>
    <w:multiLevelType w:val="hybridMultilevel"/>
    <w:tmpl w:val="8E40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903B2"/>
    <w:multiLevelType w:val="hybridMultilevel"/>
    <w:tmpl w:val="D69A7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25516070">
    <w:abstractNumId w:val="0"/>
  </w:num>
  <w:num w:numId="2" w16cid:durableId="1653093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CD"/>
    <w:rsid w:val="00002FA4"/>
    <w:rsid w:val="00007CC3"/>
    <w:rsid w:val="00014D4E"/>
    <w:rsid w:val="00022AB6"/>
    <w:rsid w:val="00022FE0"/>
    <w:rsid w:val="0004085C"/>
    <w:rsid w:val="00043543"/>
    <w:rsid w:val="00044DF5"/>
    <w:rsid w:val="00054878"/>
    <w:rsid w:val="000552E5"/>
    <w:rsid w:val="0006286C"/>
    <w:rsid w:val="0006448C"/>
    <w:rsid w:val="00065DB0"/>
    <w:rsid w:val="00071D33"/>
    <w:rsid w:val="000723E7"/>
    <w:rsid w:val="00076DF4"/>
    <w:rsid w:val="00080659"/>
    <w:rsid w:val="000928A4"/>
    <w:rsid w:val="00094553"/>
    <w:rsid w:val="00094E05"/>
    <w:rsid w:val="000A368A"/>
    <w:rsid w:val="000D0166"/>
    <w:rsid w:val="000D0439"/>
    <w:rsid w:val="000D1CAA"/>
    <w:rsid w:val="000E0486"/>
    <w:rsid w:val="000E2D85"/>
    <w:rsid w:val="000F3A89"/>
    <w:rsid w:val="000F4CA4"/>
    <w:rsid w:val="00112C0A"/>
    <w:rsid w:val="00120A62"/>
    <w:rsid w:val="00122ECA"/>
    <w:rsid w:val="00123203"/>
    <w:rsid w:val="00125110"/>
    <w:rsid w:val="00137DC8"/>
    <w:rsid w:val="001550CE"/>
    <w:rsid w:val="00160DF5"/>
    <w:rsid w:val="00161C7A"/>
    <w:rsid w:val="00161E8F"/>
    <w:rsid w:val="0016687F"/>
    <w:rsid w:val="001700C1"/>
    <w:rsid w:val="001743C2"/>
    <w:rsid w:val="001903B5"/>
    <w:rsid w:val="001913A5"/>
    <w:rsid w:val="001B565F"/>
    <w:rsid w:val="001B604D"/>
    <w:rsid w:val="001C29FB"/>
    <w:rsid w:val="001C3F57"/>
    <w:rsid w:val="001D2F80"/>
    <w:rsid w:val="001D6488"/>
    <w:rsid w:val="001D7552"/>
    <w:rsid w:val="001E1D35"/>
    <w:rsid w:val="001E4B23"/>
    <w:rsid w:val="001F41F9"/>
    <w:rsid w:val="00202C90"/>
    <w:rsid w:val="00205340"/>
    <w:rsid w:val="002069C8"/>
    <w:rsid w:val="002114C1"/>
    <w:rsid w:val="00217057"/>
    <w:rsid w:val="00217FF7"/>
    <w:rsid w:val="00226219"/>
    <w:rsid w:val="0022697A"/>
    <w:rsid w:val="00227B4E"/>
    <w:rsid w:val="002437A3"/>
    <w:rsid w:val="002575D8"/>
    <w:rsid w:val="00277F0F"/>
    <w:rsid w:val="00283F84"/>
    <w:rsid w:val="00286225"/>
    <w:rsid w:val="00287E98"/>
    <w:rsid w:val="00291190"/>
    <w:rsid w:val="00293FA2"/>
    <w:rsid w:val="00297E88"/>
    <w:rsid w:val="002A0364"/>
    <w:rsid w:val="002A33F5"/>
    <w:rsid w:val="002A484A"/>
    <w:rsid w:val="002C07F3"/>
    <w:rsid w:val="002C6557"/>
    <w:rsid w:val="002F4819"/>
    <w:rsid w:val="002F5A82"/>
    <w:rsid w:val="002F7BCD"/>
    <w:rsid w:val="0030109F"/>
    <w:rsid w:val="0030321A"/>
    <w:rsid w:val="00315E0E"/>
    <w:rsid w:val="0031643D"/>
    <w:rsid w:val="00320A12"/>
    <w:rsid w:val="0033008B"/>
    <w:rsid w:val="00335CF3"/>
    <w:rsid w:val="00342EE1"/>
    <w:rsid w:val="0035048B"/>
    <w:rsid w:val="00350E20"/>
    <w:rsid w:val="00357F78"/>
    <w:rsid w:val="003711E2"/>
    <w:rsid w:val="00387059"/>
    <w:rsid w:val="003A2073"/>
    <w:rsid w:val="003A4B9B"/>
    <w:rsid w:val="003A5116"/>
    <w:rsid w:val="003A791B"/>
    <w:rsid w:val="003B1646"/>
    <w:rsid w:val="003B6374"/>
    <w:rsid w:val="003C0BA8"/>
    <w:rsid w:val="003D0D90"/>
    <w:rsid w:val="003D2E27"/>
    <w:rsid w:val="003E48E7"/>
    <w:rsid w:val="003E4F65"/>
    <w:rsid w:val="003F1A45"/>
    <w:rsid w:val="003F3C27"/>
    <w:rsid w:val="003F4896"/>
    <w:rsid w:val="003F7085"/>
    <w:rsid w:val="0043172A"/>
    <w:rsid w:val="0043737F"/>
    <w:rsid w:val="004460C3"/>
    <w:rsid w:val="00454DE1"/>
    <w:rsid w:val="00460ED4"/>
    <w:rsid w:val="00463530"/>
    <w:rsid w:val="00466CEC"/>
    <w:rsid w:val="00467E0A"/>
    <w:rsid w:val="004718BF"/>
    <w:rsid w:val="00476DC1"/>
    <w:rsid w:val="004775C5"/>
    <w:rsid w:val="00480B74"/>
    <w:rsid w:val="00483380"/>
    <w:rsid w:val="004A1FC4"/>
    <w:rsid w:val="004B5B4F"/>
    <w:rsid w:val="004B7419"/>
    <w:rsid w:val="004C7498"/>
    <w:rsid w:val="004D3CC4"/>
    <w:rsid w:val="004D5819"/>
    <w:rsid w:val="004F4DA3"/>
    <w:rsid w:val="005024B2"/>
    <w:rsid w:val="00503881"/>
    <w:rsid w:val="00513C35"/>
    <w:rsid w:val="00524E98"/>
    <w:rsid w:val="00540FF0"/>
    <w:rsid w:val="00544516"/>
    <w:rsid w:val="0054616A"/>
    <w:rsid w:val="005663CD"/>
    <w:rsid w:val="005739A1"/>
    <w:rsid w:val="00585EF9"/>
    <w:rsid w:val="00594A3C"/>
    <w:rsid w:val="005A1AD0"/>
    <w:rsid w:val="005A34DD"/>
    <w:rsid w:val="005B04BD"/>
    <w:rsid w:val="005B550D"/>
    <w:rsid w:val="005B6767"/>
    <w:rsid w:val="005C36BC"/>
    <w:rsid w:val="005D2508"/>
    <w:rsid w:val="005D47E9"/>
    <w:rsid w:val="005D71A2"/>
    <w:rsid w:val="005E51FB"/>
    <w:rsid w:val="005F0046"/>
    <w:rsid w:val="006001B6"/>
    <w:rsid w:val="00605380"/>
    <w:rsid w:val="00610671"/>
    <w:rsid w:val="00615909"/>
    <w:rsid w:val="00643F27"/>
    <w:rsid w:val="0065754E"/>
    <w:rsid w:val="00666E1C"/>
    <w:rsid w:val="00675F31"/>
    <w:rsid w:val="006760D2"/>
    <w:rsid w:val="00680AC9"/>
    <w:rsid w:val="00682B55"/>
    <w:rsid w:val="00686BF5"/>
    <w:rsid w:val="00686ECD"/>
    <w:rsid w:val="0068793A"/>
    <w:rsid w:val="00690599"/>
    <w:rsid w:val="006A2571"/>
    <w:rsid w:val="006B0E2C"/>
    <w:rsid w:val="006B0E42"/>
    <w:rsid w:val="006B0E8B"/>
    <w:rsid w:val="006B6602"/>
    <w:rsid w:val="006D0002"/>
    <w:rsid w:val="006D26D0"/>
    <w:rsid w:val="006F11C0"/>
    <w:rsid w:val="00700B00"/>
    <w:rsid w:val="00705D24"/>
    <w:rsid w:val="0071033E"/>
    <w:rsid w:val="007133CD"/>
    <w:rsid w:val="0071715E"/>
    <w:rsid w:val="00722AEF"/>
    <w:rsid w:val="007234B0"/>
    <w:rsid w:val="007304A1"/>
    <w:rsid w:val="007323AE"/>
    <w:rsid w:val="00735DDC"/>
    <w:rsid w:val="00736AFC"/>
    <w:rsid w:val="00752A85"/>
    <w:rsid w:val="007634A1"/>
    <w:rsid w:val="0077775C"/>
    <w:rsid w:val="007833C4"/>
    <w:rsid w:val="00796885"/>
    <w:rsid w:val="007A1B49"/>
    <w:rsid w:val="007A60CC"/>
    <w:rsid w:val="007B003D"/>
    <w:rsid w:val="007B431C"/>
    <w:rsid w:val="007D3713"/>
    <w:rsid w:val="007D4640"/>
    <w:rsid w:val="007D6E21"/>
    <w:rsid w:val="007E376A"/>
    <w:rsid w:val="007E426F"/>
    <w:rsid w:val="007E59C5"/>
    <w:rsid w:val="007E5B75"/>
    <w:rsid w:val="00800748"/>
    <w:rsid w:val="00802A71"/>
    <w:rsid w:val="008074A4"/>
    <w:rsid w:val="008125E2"/>
    <w:rsid w:val="00814291"/>
    <w:rsid w:val="0081515A"/>
    <w:rsid w:val="00820AAA"/>
    <w:rsid w:val="00827FFE"/>
    <w:rsid w:val="00832360"/>
    <w:rsid w:val="00832DB4"/>
    <w:rsid w:val="0083527E"/>
    <w:rsid w:val="00835B4B"/>
    <w:rsid w:val="00836079"/>
    <w:rsid w:val="00841631"/>
    <w:rsid w:val="00844F22"/>
    <w:rsid w:val="008510C6"/>
    <w:rsid w:val="00853220"/>
    <w:rsid w:val="00854E73"/>
    <w:rsid w:val="008618EB"/>
    <w:rsid w:val="008722DE"/>
    <w:rsid w:val="008725CB"/>
    <w:rsid w:val="0088351E"/>
    <w:rsid w:val="00886B5A"/>
    <w:rsid w:val="008940C6"/>
    <w:rsid w:val="0089574B"/>
    <w:rsid w:val="008F191D"/>
    <w:rsid w:val="008F5B2C"/>
    <w:rsid w:val="00901031"/>
    <w:rsid w:val="009076A6"/>
    <w:rsid w:val="00915464"/>
    <w:rsid w:val="0092516F"/>
    <w:rsid w:val="0092784C"/>
    <w:rsid w:val="00930955"/>
    <w:rsid w:val="00932DF5"/>
    <w:rsid w:val="00933DB2"/>
    <w:rsid w:val="00934553"/>
    <w:rsid w:val="009376CD"/>
    <w:rsid w:val="00940915"/>
    <w:rsid w:val="00945B66"/>
    <w:rsid w:val="00947C65"/>
    <w:rsid w:val="0095106E"/>
    <w:rsid w:val="00951510"/>
    <w:rsid w:val="00962DE1"/>
    <w:rsid w:val="009667DE"/>
    <w:rsid w:val="009765CD"/>
    <w:rsid w:val="00980671"/>
    <w:rsid w:val="00981C18"/>
    <w:rsid w:val="0098520D"/>
    <w:rsid w:val="009862C8"/>
    <w:rsid w:val="00990388"/>
    <w:rsid w:val="00991AB7"/>
    <w:rsid w:val="009A25E7"/>
    <w:rsid w:val="009B384D"/>
    <w:rsid w:val="009B65BA"/>
    <w:rsid w:val="009B7AC0"/>
    <w:rsid w:val="009C5D6A"/>
    <w:rsid w:val="009D18D6"/>
    <w:rsid w:val="009E3359"/>
    <w:rsid w:val="009E5F5C"/>
    <w:rsid w:val="009F6F5C"/>
    <w:rsid w:val="00A032B7"/>
    <w:rsid w:val="00A0378F"/>
    <w:rsid w:val="00A11766"/>
    <w:rsid w:val="00A14DF7"/>
    <w:rsid w:val="00A24A86"/>
    <w:rsid w:val="00A2744A"/>
    <w:rsid w:val="00A42668"/>
    <w:rsid w:val="00A46A7C"/>
    <w:rsid w:val="00A50013"/>
    <w:rsid w:val="00A552D9"/>
    <w:rsid w:val="00A61B61"/>
    <w:rsid w:val="00A61BD1"/>
    <w:rsid w:val="00A62CD2"/>
    <w:rsid w:val="00A64A22"/>
    <w:rsid w:val="00A65662"/>
    <w:rsid w:val="00A72898"/>
    <w:rsid w:val="00A84E33"/>
    <w:rsid w:val="00A904AF"/>
    <w:rsid w:val="00A90DC8"/>
    <w:rsid w:val="00A92E99"/>
    <w:rsid w:val="00A93430"/>
    <w:rsid w:val="00AA4BF6"/>
    <w:rsid w:val="00AA7AAC"/>
    <w:rsid w:val="00AA7B8E"/>
    <w:rsid w:val="00AD6050"/>
    <w:rsid w:val="00AD7481"/>
    <w:rsid w:val="00AE73E5"/>
    <w:rsid w:val="00B16EDA"/>
    <w:rsid w:val="00B27BF6"/>
    <w:rsid w:val="00B31799"/>
    <w:rsid w:val="00B4654B"/>
    <w:rsid w:val="00B4676B"/>
    <w:rsid w:val="00B56087"/>
    <w:rsid w:val="00B57BE4"/>
    <w:rsid w:val="00B60D02"/>
    <w:rsid w:val="00B659F4"/>
    <w:rsid w:val="00B757DC"/>
    <w:rsid w:val="00B76DB5"/>
    <w:rsid w:val="00B865D3"/>
    <w:rsid w:val="00B91AA2"/>
    <w:rsid w:val="00B92D3A"/>
    <w:rsid w:val="00BA0FD5"/>
    <w:rsid w:val="00BA188A"/>
    <w:rsid w:val="00BA2627"/>
    <w:rsid w:val="00BA4D2D"/>
    <w:rsid w:val="00BB3ABB"/>
    <w:rsid w:val="00BB3D88"/>
    <w:rsid w:val="00BC32BD"/>
    <w:rsid w:val="00BD4DCB"/>
    <w:rsid w:val="00BD64C9"/>
    <w:rsid w:val="00BE3595"/>
    <w:rsid w:val="00BE7318"/>
    <w:rsid w:val="00BF18C5"/>
    <w:rsid w:val="00BF2301"/>
    <w:rsid w:val="00C00EAF"/>
    <w:rsid w:val="00C04248"/>
    <w:rsid w:val="00C11E95"/>
    <w:rsid w:val="00C15E3C"/>
    <w:rsid w:val="00C267FC"/>
    <w:rsid w:val="00C33B2B"/>
    <w:rsid w:val="00C35412"/>
    <w:rsid w:val="00C40DD4"/>
    <w:rsid w:val="00C43527"/>
    <w:rsid w:val="00C4586C"/>
    <w:rsid w:val="00C5778B"/>
    <w:rsid w:val="00C615FF"/>
    <w:rsid w:val="00C673A7"/>
    <w:rsid w:val="00C71AE0"/>
    <w:rsid w:val="00C73B28"/>
    <w:rsid w:val="00C772BB"/>
    <w:rsid w:val="00C8351C"/>
    <w:rsid w:val="00C90D18"/>
    <w:rsid w:val="00C91E68"/>
    <w:rsid w:val="00C95B5D"/>
    <w:rsid w:val="00CA52D8"/>
    <w:rsid w:val="00CA614C"/>
    <w:rsid w:val="00CB15B9"/>
    <w:rsid w:val="00CB7C0A"/>
    <w:rsid w:val="00CC264F"/>
    <w:rsid w:val="00CC5E59"/>
    <w:rsid w:val="00CD3EFC"/>
    <w:rsid w:val="00D00115"/>
    <w:rsid w:val="00D027E3"/>
    <w:rsid w:val="00D05051"/>
    <w:rsid w:val="00D107D2"/>
    <w:rsid w:val="00D16697"/>
    <w:rsid w:val="00D362D0"/>
    <w:rsid w:val="00D45926"/>
    <w:rsid w:val="00D4662A"/>
    <w:rsid w:val="00D47DB1"/>
    <w:rsid w:val="00D51A53"/>
    <w:rsid w:val="00D55424"/>
    <w:rsid w:val="00D77757"/>
    <w:rsid w:val="00D92DFC"/>
    <w:rsid w:val="00D93F4D"/>
    <w:rsid w:val="00DA50ED"/>
    <w:rsid w:val="00DB282A"/>
    <w:rsid w:val="00DC177E"/>
    <w:rsid w:val="00DC26A1"/>
    <w:rsid w:val="00DD1723"/>
    <w:rsid w:val="00E0143F"/>
    <w:rsid w:val="00E03392"/>
    <w:rsid w:val="00E035C1"/>
    <w:rsid w:val="00E0398F"/>
    <w:rsid w:val="00E04875"/>
    <w:rsid w:val="00E0606E"/>
    <w:rsid w:val="00E1134E"/>
    <w:rsid w:val="00E12208"/>
    <w:rsid w:val="00E13C5A"/>
    <w:rsid w:val="00E2098C"/>
    <w:rsid w:val="00E30EE3"/>
    <w:rsid w:val="00E52A9C"/>
    <w:rsid w:val="00E53B27"/>
    <w:rsid w:val="00E56111"/>
    <w:rsid w:val="00E65D99"/>
    <w:rsid w:val="00E66757"/>
    <w:rsid w:val="00E670C3"/>
    <w:rsid w:val="00E84CB6"/>
    <w:rsid w:val="00EA5E06"/>
    <w:rsid w:val="00EB3433"/>
    <w:rsid w:val="00EB4597"/>
    <w:rsid w:val="00EC4B89"/>
    <w:rsid w:val="00EC5039"/>
    <w:rsid w:val="00ED0BCC"/>
    <w:rsid w:val="00ED6EF2"/>
    <w:rsid w:val="00EE2ADC"/>
    <w:rsid w:val="00EF0016"/>
    <w:rsid w:val="00EF6FC2"/>
    <w:rsid w:val="00F0335E"/>
    <w:rsid w:val="00F07518"/>
    <w:rsid w:val="00F11010"/>
    <w:rsid w:val="00F12208"/>
    <w:rsid w:val="00F23B93"/>
    <w:rsid w:val="00F30A12"/>
    <w:rsid w:val="00F3155D"/>
    <w:rsid w:val="00F34165"/>
    <w:rsid w:val="00F407FD"/>
    <w:rsid w:val="00F41A88"/>
    <w:rsid w:val="00F606D9"/>
    <w:rsid w:val="00F735F1"/>
    <w:rsid w:val="00F754E9"/>
    <w:rsid w:val="00F8588F"/>
    <w:rsid w:val="00F86E46"/>
    <w:rsid w:val="00FA2CF6"/>
    <w:rsid w:val="00FA5590"/>
    <w:rsid w:val="00FA7651"/>
    <w:rsid w:val="00FA7F12"/>
    <w:rsid w:val="00FB175B"/>
    <w:rsid w:val="00FD0BDE"/>
    <w:rsid w:val="00FF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57CF2"/>
  <w15:chartTrackingRefBased/>
  <w15:docId w15:val="{BC2D21E7-C163-41EF-B93C-4A997EB8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90"/>
    <w:rPr>
      <w:rFonts w:ascii="Century Schoolbook" w:hAnsi="Century Schoolbook"/>
      <w:sz w:val="24"/>
    </w:rPr>
  </w:style>
  <w:style w:type="paragraph" w:styleId="Heading1">
    <w:name w:val="heading 1"/>
    <w:basedOn w:val="Normal"/>
    <w:next w:val="Normal"/>
    <w:qFormat/>
    <w:rsid w:val="0065754E"/>
    <w:pPr>
      <w:keepNext/>
      <w:jc w:val="center"/>
      <w:outlineLvl w:val="0"/>
    </w:pPr>
    <w:rPr>
      <w:rFonts w:ascii="Times New Roman" w:hAnsi="Times New Roman"/>
      <w:b/>
      <w:sz w:val="34"/>
    </w:rPr>
  </w:style>
  <w:style w:type="paragraph" w:styleId="Heading5">
    <w:name w:val="heading 5"/>
    <w:basedOn w:val="Normal"/>
    <w:next w:val="Normal"/>
    <w:qFormat/>
    <w:rsid w:val="0065754E"/>
    <w:pPr>
      <w:keepNext/>
      <w:ind w:right="72"/>
      <w:jc w:val="center"/>
      <w:outlineLvl w:val="4"/>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5590"/>
    <w:pPr>
      <w:spacing w:after="240"/>
      <w:jc w:val="center"/>
    </w:pPr>
    <w:rPr>
      <w:b/>
    </w:rPr>
  </w:style>
  <w:style w:type="paragraph" w:styleId="Header">
    <w:name w:val="header"/>
    <w:basedOn w:val="Normal"/>
    <w:link w:val="HeaderChar"/>
    <w:rsid w:val="00FA5590"/>
    <w:pPr>
      <w:tabs>
        <w:tab w:val="center" w:pos="4320"/>
        <w:tab w:val="right" w:pos="8640"/>
      </w:tabs>
    </w:pPr>
  </w:style>
  <w:style w:type="paragraph" w:styleId="Footer">
    <w:name w:val="footer"/>
    <w:basedOn w:val="Normal"/>
    <w:link w:val="FooterChar"/>
    <w:rsid w:val="00FA5590"/>
    <w:pPr>
      <w:tabs>
        <w:tab w:val="center" w:pos="4320"/>
        <w:tab w:val="right" w:pos="8640"/>
      </w:tabs>
    </w:pPr>
  </w:style>
  <w:style w:type="paragraph" w:styleId="BalloonText">
    <w:name w:val="Balloon Text"/>
    <w:basedOn w:val="Normal"/>
    <w:semiHidden/>
    <w:rsid w:val="0065754E"/>
    <w:rPr>
      <w:rFonts w:ascii="Tahoma" w:hAnsi="Tahoma" w:cs="Tahoma"/>
      <w:sz w:val="16"/>
      <w:szCs w:val="16"/>
    </w:rPr>
  </w:style>
  <w:style w:type="paragraph" w:styleId="BodyText">
    <w:name w:val="Body Text"/>
    <w:basedOn w:val="Normal"/>
    <w:rsid w:val="0065754E"/>
    <w:pPr>
      <w:spacing w:after="120"/>
      <w:ind w:right="72"/>
    </w:pPr>
    <w:rPr>
      <w:rFonts w:ascii="Times New Roman" w:hAnsi="Times New Roman"/>
    </w:rPr>
  </w:style>
  <w:style w:type="character" w:styleId="LineNumber">
    <w:name w:val="line number"/>
    <w:basedOn w:val="DefaultParagraphFont"/>
    <w:rsid w:val="00735DDC"/>
  </w:style>
  <w:style w:type="table" w:styleId="TableGrid">
    <w:name w:val="Table Grid"/>
    <w:basedOn w:val="TableNormal"/>
    <w:rsid w:val="00F735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BC32BD"/>
    <w:rPr>
      <w:sz w:val="16"/>
      <w:szCs w:val="16"/>
    </w:rPr>
  </w:style>
  <w:style w:type="paragraph" w:styleId="CommentText">
    <w:name w:val="annotation text"/>
    <w:basedOn w:val="Normal"/>
    <w:link w:val="CommentTextChar"/>
    <w:rsid w:val="00BC32BD"/>
    <w:rPr>
      <w:sz w:val="20"/>
    </w:rPr>
  </w:style>
  <w:style w:type="character" w:customStyle="1" w:styleId="CommentTextChar">
    <w:name w:val="Comment Text Char"/>
    <w:link w:val="CommentText"/>
    <w:rsid w:val="00BC32BD"/>
    <w:rPr>
      <w:rFonts w:ascii="Century Schoolbook" w:hAnsi="Century Schoolbook"/>
    </w:rPr>
  </w:style>
  <w:style w:type="paragraph" w:styleId="CommentSubject">
    <w:name w:val="annotation subject"/>
    <w:basedOn w:val="CommentText"/>
    <w:next w:val="CommentText"/>
    <w:link w:val="CommentSubjectChar"/>
    <w:rsid w:val="00BC32BD"/>
    <w:rPr>
      <w:b/>
      <w:bCs/>
    </w:rPr>
  </w:style>
  <w:style w:type="character" w:customStyle="1" w:styleId="CommentSubjectChar">
    <w:name w:val="Comment Subject Char"/>
    <w:link w:val="CommentSubject"/>
    <w:rsid w:val="00BC32BD"/>
    <w:rPr>
      <w:rFonts w:ascii="Century Schoolbook" w:hAnsi="Century Schoolbook"/>
      <w:b/>
      <w:bCs/>
    </w:rPr>
  </w:style>
  <w:style w:type="paragraph" w:styleId="Revision">
    <w:name w:val="Revision"/>
    <w:hidden/>
    <w:uiPriority w:val="99"/>
    <w:semiHidden/>
    <w:rsid w:val="00BC32BD"/>
    <w:rPr>
      <w:rFonts w:ascii="Century Schoolbook" w:hAnsi="Century Schoolbook"/>
      <w:sz w:val="24"/>
    </w:rPr>
  </w:style>
  <w:style w:type="paragraph" w:customStyle="1" w:styleId="Pagexofyfooter">
    <w:name w:val="Page x of y footer"/>
    <w:basedOn w:val="Footer"/>
    <w:link w:val="PagexofyfooterChar"/>
    <w:qFormat/>
    <w:rsid w:val="00071D33"/>
    <w:pPr>
      <w:tabs>
        <w:tab w:val="clear" w:pos="4320"/>
        <w:tab w:val="clear" w:pos="8640"/>
        <w:tab w:val="left" w:pos="11430"/>
      </w:tabs>
      <w:ind w:left="720"/>
      <w:jc w:val="right"/>
    </w:pPr>
    <w:rPr>
      <w:rFonts w:ascii="Arial Narrow" w:hAnsi="Arial Narrow"/>
      <w:i/>
      <w:sz w:val="18"/>
      <w:szCs w:val="18"/>
    </w:rPr>
  </w:style>
  <w:style w:type="character" w:customStyle="1" w:styleId="HeaderChar">
    <w:name w:val="Header Char"/>
    <w:link w:val="Header"/>
    <w:rsid w:val="00A61B61"/>
    <w:rPr>
      <w:rFonts w:ascii="Century Schoolbook" w:hAnsi="Century Schoolbook"/>
      <w:sz w:val="24"/>
    </w:rPr>
  </w:style>
  <w:style w:type="character" w:customStyle="1" w:styleId="FooterChar">
    <w:name w:val="Footer Char"/>
    <w:link w:val="Footer"/>
    <w:rsid w:val="00071D33"/>
    <w:rPr>
      <w:rFonts w:ascii="Century Schoolbook" w:hAnsi="Century Schoolbook"/>
      <w:sz w:val="24"/>
    </w:rPr>
  </w:style>
  <w:style w:type="character" w:customStyle="1" w:styleId="PagexofyfooterChar">
    <w:name w:val="Page x of y footer Char"/>
    <w:link w:val="Pagexofyfooter"/>
    <w:rsid w:val="00071D33"/>
    <w:rPr>
      <w:rFonts w:ascii="Arial Narrow" w:hAnsi="Arial Narrow"/>
      <w:i/>
      <w:sz w:val="18"/>
      <w:szCs w:val="18"/>
    </w:rPr>
  </w:style>
  <w:style w:type="character" w:customStyle="1" w:styleId="cf01">
    <w:name w:val="cf01"/>
    <w:basedOn w:val="DefaultParagraphFont"/>
    <w:rsid w:val="00C772BB"/>
    <w:rPr>
      <w:rFonts w:ascii="Segoe UI" w:hAnsi="Segoe UI" w:cs="Segoe UI" w:hint="default"/>
      <w:sz w:val="18"/>
      <w:szCs w:val="18"/>
    </w:rPr>
  </w:style>
  <w:style w:type="paragraph" w:styleId="ListParagraph">
    <w:name w:val="List Paragraph"/>
    <w:basedOn w:val="Normal"/>
    <w:uiPriority w:val="34"/>
    <w:qFormat/>
    <w:rsid w:val="00C772BB"/>
    <w:pPr>
      <w:ind w:left="72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9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ulescomm\My%20Documents\proposals%20-%20Jean\CONSTITUTION%20AMEND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CONSTITUTION AMENDMENT FORM</Template>
  <TotalTime>2</TotalTime>
  <Pages>3</Pages>
  <Words>391</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 Great Meeting, Inc.</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Collier Trohan</dc:creator>
  <cp:keywords/>
  <cp:lastModifiedBy>ACAPT Executive Director</cp:lastModifiedBy>
  <cp:revision>3</cp:revision>
  <cp:lastPrinted>2007-10-11T14:30:00Z</cp:lastPrinted>
  <dcterms:created xsi:type="dcterms:W3CDTF">2024-09-19T17:53:00Z</dcterms:created>
  <dcterms:modified xsi:type="dcterms:W3CDTF">2024-09-19T17:54:00Z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a9ceeda76f7ba823b589f8089a1a776b3958b9dc10c15d2975bfd043e0d01d89</vt:lpwstr>
  </property>
</Properties>
</file>