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26" w:rsidRDefault="00336326"/>
    <w:p w:rsidR="00A036C9" w:rsidRDefault="00A036C9">
      <w:bookmarkStart w:id="0" w:name="_GoBack"/>
      <w:r>
        <w:rPr>
          <w:noProof/>
        </w:rPr>
        <w:drawing>
          <wp:inline distT="0" distB="0" distL="0" distR="0" wp14:anchorId="5B94AA1D" wp14:editId="7FA71E3B">
            <wp:extent cx="5943600" cy="3550920"/>
            <wp:effectExtent l="0" t="0" r="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A036C9" w:rsidRDefault="00A036C9"/>
    <w:p w:rsidR="00336326" w:rsidRDefault="00336326">
      <w:r>
        <w:rPr>
          <w:noProof/>
        </w:rPr>
        <w:drawing>
          <wp:inline distT="0" distB="0" distL="0" distR="0" wp14:anchorId="724304EF" wp14:editId="102129D5">
            <wp:extent cx="5943600" cy="4250055"/>
            <wp:effectExtent l="0" t="0" r="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6966" w:rsidRDefault="001B6966">
      <w:r>
        <w:rPr>
          <w:noProof/>
        </w:rPr>
        <w:lastRenderedPageBreak/>
        <w:drawing>
          <wp:inline distT="0" distB="0" distL="0" distR="0" wp14:anchorId="287AEFA7" wp14:editId="36B06231">
            <wp:extent cx="5943600" cy="3995420"/>
            <wp:effectExtent l="0" t="0" r="0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7A16" w:rsidRDefault="00827A16">
      <w:r>
        <w:rPr>
          <w:noProof/>
        </w:rPr>
        <w:drawing>
          <wp:inline distT="0" distB="0" distL="0" distR="0" wp14:anchorId="04986D67" wp14:editId="6CED54C4">
            <wp:extent cx="5943600" cy="4090035"/>
            <wp:effectExtent l="0" t="0" r="0" b="57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3F66" w:rsidRDefault="00A43F66"/>
    <w:p w:rsidR="001B37CA" w:rsidRDefault="001B37CA"/>
    <w:p w:rsidR="001B37CA" w:rsidRDefault="006C4C66">
      <w:r>
        <w:rPr>
          <w:noProof/>
        </w:rPr>
        <w:drawing>
          <wp:inline distT="0" distB="0" distL="0" distR="0" wp14:anchorId="3D97E793" wp14:editId="5F440055">
            <wp:extent cx="5943600" cy="4166870"/>
            <wp:effectExtent l="0" t="0" r="0" b="508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37CA" w:rsidRDefault="001B37CA"/>
    <w:p w:rsidR="00DE384F" w:rsidRDefault="00DE384F"/>
    <w:p w:rsidR="00DE384F" w:rsidRDefault="00DE384F"/>
    <w:p w:rsidR="00DE384F" w:rsidRDefault="00DE384F"/>
    <w:p w:rsidR="00C77DD7" w:rsidRDefault="00C77DD7"/>
    <w:p w:rsidR="00C77DD7" w:rsidRDefault="00C77DD7"/>
    <w:p w:rsidR="00EC7B9F" w:rsidRDefault="00EC7B9F"/>
    <w:p w:rsidR="00EC7B9F" w:rsidRDefault="00EC7B9F"/>
    <w:p w:rsidR="00EC7B9F" w:rsidRDefault="00EC7B9F"/>
    <w:p w:rsidR="00EC7B9F" w:rsidRDefault="00EC7B9F"/>
    <w:sectPr w:rsidR="00EC7B9F" w:rsidSect="00DE384F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D7" w:rsidRDefault="00C77DD7" w:rsidP="00C77DD7">
      <w:pPr>
        <w:spacing w:after="0" w:line="240" w:lineRule="auto"/>
      </w:pPr>
      <w:r>
        <w:separator/>
      </w:r>
    </w:p>
  </w:endnote>
  <w:endnote w:type="continuationSeparator" w:id="0">
    <w:p w:rsidR="00C77DD7" w:rsidRDefault="00C77DD7" w:rsidP="00C7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D7" w:rsidRDefault="00C77DD7" w:rsidP="00C77DD7">
      <w:pPr>
        <w:spacing w:after="0" w:line="240" w:lineRule="auto"/>
      </w:pPr>
      <w:r>
        <w:separator/>
      </w:r>
    </w:p>
  </w:footnote>
  <w:footnote w:type="continuationSeparator" w:id="0">
    <w:p w:rsidR="00C77DD7" w:rsidRDefault="00C77DD7" w:rsidP="00C7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D7" w:rsidRDefault="00C77DD7" w:rsidP="00C77DD7">
    <w:pPr>
      <w:pStyle w:val="Header"/>
    </w:pPr>
    <w:r>
      <w:t xml:space="preserve">ACAPT – </w:t>
    </w:r>
    <w:r w:rsidR="00F175A9">
      <w:t>Q</w:t>
    </w:r>
    <w:r w:rsidR="00106589">
      <w:t>4</w:t>
    </w:r>
    <w:r>
      <w:t xml:space="preserve"> </w:t>
    </w:r>
    <w:r w:rsidR="00F175A9">
      <w:t xml:space="preserve">Charts </w:t>
    </w:r>
    <w:r>
      <w:t>Final for BOD review and Membership report</w:t>
    </w:r>
  </w:p>
  <w:p w:rsidR="00C77DD7" w:rsidRDefault="00C77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D7"/>
    <w:rsid w:val="000C309C"/>
    <w:rsid w:val="00106589"/>
    <w:rsid w:val="00121767"/>
    <w:rsid w:val="001721CD"/>
    <w:rsid w:val="001B37CA"/>
    <w:rsid w:val="001B6966"/>
    <w:rsid w:val="00287E5E"/>
    <w:rsid w:val="002C3BDF"/>
    <w:rsid w:val="002E2F43"/>
    <w:rsid w:val="00336326"/>
    <w:rsid w:val="00371A8E"/>
    <w:rsid w:val="0039522B"/>
    <w:rsid w:val="004C3B13"/>
    <w:rsid w:val="004F4545"/>
    <w:rsid w:val="00634A14"/>
    <w:rsid w:val="006934AB"/>
    <w:rsid w:val="006C4C66"/>
    <w:rsid w:val="007C18FC"/>
    <w:rsid w:val="007F2AD1"/>
    <w:rsid w:val="007F3FC3"/>
    <w:rsid w:val="00827A16"/>
    <w:rsid w:val="009401BD"/>
    <w:rsid w:val="009F3ACF"/>
    <w:rsid w:val="00A036C9"/>
    <w:rsid w:val="00A43F66"/>
    <w:rsid w:val="00A450FB"/>
    <w:rsid w:val="00AB3C65"/>
    <w:rsid w:val="00BA20FC"/>
    <w:rsid w:val="00C46DAA"/>
    <w:rsid w:val="00C73FD2"/>
    <w:rsid w:val="00C77DD7"/>
    <w:rsid w:val="00CA3D25"/>
    <w:rsid w:val="00D923FE"/>
    <w:rsid w:val="00DD1B40"/>
    <w:rsid w:val="00DE384F"/>
    <w:rsid w:val="00E264FB"/>
    <w:rsid w:val="00E7595E"/>
    <w:rsid w:val="00EA1167"/>
    <w:rsid w:val="00EC7B9F"/>
    <w:rsid w:val="00F1360C"/>
    <w:rsid w:val="00F175A9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9A5DE-E4F2-46D7-8047-626B5ED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95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D7"/>
  </w:style>
  <w:style w:type="paragraph" w:styleId="Footer">
    <w:name w:val="footer"/>
    <w:basedOn w:val="Normal"/>
    <w:link w:val="FooterChar"/>
    <w:uiPriority w:val="99"/>
    <w:unhideWhenUsed/>
    <w:rsid w:val="00C7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ptaemccifs\Finance\Component%20Financial%20Services\ACAPT\MONTHLY%20PROCESSING\2017\12-December\FR\Final\ACAPT_%20Q4%20Charts%20for%20BOD%20and%20Membership%20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ptaemccifs\Finance\Component%20Financial%20Services\ACAPT\MONTHLY%20PROCESSING\2017\12-December\FR\Final\ACAPT_%20Q4%20Charts%20for%20BOD%20and%20Membership%20Fin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ptaemccifs\Finance\Component%20Financial%20Services\ACAPT\MONTHLY%20PROCESSING\2017\12-December\FR\Final\ACAPT_%20Q4%20Charts%20for%20BOD%20and%20Membership%20Fina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solidFill>
                  <a:schemeClr val="bg1"/>
                </a:solidFill>
              </a:rPr>
              <a:t>ACAPT - Expense Summary</a:t>
            </a:r>
            <a:br>
              <a:rPr lang="en-US" sz="1800" b="1">
                <a:solidFill>
                  <a:schemeClr val="bg1"/>
                </a:solidFill>
              </a:rPr>
            </a:br>
            <a:r>
              <a:rPr lang="en-US" sz="1800" b="1">
                <a:solidFill>
                  <a:schemeClr val="bg1"/>
                </a:solidFill>
              </a:rPr>
              <a:t>Actual</a:t>
            </a:r>
            <a:r>
              <a:rPr lang="en-US" sz="1800" b="1" baseline="0">
                <a:solidFill>
                  <a:schemeClr val="bg1"/>
                </a:solidFill>
              </a:rPr>
              <a:t> 12/31/2017</a:t>
            </a:r>
          </a:p>
          <a:p>
            <a:pPr>
              <a:defRPr>
                <a:solidFill>
                  <a:schemeClr val="bg1"/>
                </a:solidFill>
              </a:defRPr>
            </a:pPr>
            <a:endParaRPr lang="en-US">
              <a:solidFill>
                <a:schemeClr val="bg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'data for charts'!$B$1</c:f>
              <c:strCache>
                <c:ptCount val="1"/>
                <c:pt idx="0">
                  <c:v>YTD ACTUAL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8636218144572285E-2"/>
                  <c:y val="-9.23941180847429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550692249943261E-2"/>
                  <c:y val="-5.684290571007978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112288848509398E-2"/>
                  <c:y val="-1.88500444955110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5379567938623053E-2"/>
                  <c:y val="-8.04692868327081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8368833703479372E-2"/>
                  <c:y val="-6.78688903157491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975317989097524E-2"/>
                  <c:y val="-6.38541561060232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2104599905781008"/>
                  <c:y val="-1.24835253962353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3073894609327759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1618867353119322"/>
                  <c:y val="-2.971624255122747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8161383673194695E-2"/>
                  <c:y val="2.98469129127099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11913352177131704"/>
                  <c:y val="1.53492615998106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0.10447794635426669"/>
                  <c:y val="-3.16493616835613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bg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for charts'!$A$2:$A$12</c:f>
              <c:strCache>
                <c:ptCount val="11"/>
                <c:pt idx="0">
                  <c:v>Benchmarks</c:v>
                </c:pt>
                <c:pt idx="1">
                  <c:v>Communications</c:v>
                </c:pt>
                <c:pt idx="2">
                  <c:v>Leadership Academy</c:v>
                </c:pt>
                <c:pt idx="3">
                  <c:v>Consortia</c:v>
                </c:pt>
                <c:pt idx="4">
                  <c:v>ELC programming</c:v>
                </c:pt>
                <c:pt idx="5">
                  <c:v>G&amp;A</c:v>
                </c:pt>
                <c:pt idx="6">
                  <c:v>Membership</c:v>
                </c:pt>
                <c:pt idx="7">
                  <c:v>Strategic Partnerships</c:v>
                </c:pt>
                <c:pt idx="8">
                  <c:v>Governance</c:v>
                </c:pt>
                <c:pt idx="9">
                  <c:v>Educational Research</c:v>
                </c:pt>
                <c:pt idx="10">
                  <c:v>Clinical Education </c:v>
                </c:pt>
              </c:strCache>
            </c:strRef>
          </c:cat>
          <c:val>
            <c:numRef>
              <c:f>'data for charts'!$B$2:$B$12</c:f>
              <c:numCache>
                <c:formatCode>_(* #,##0.00_);_(* \(#,##0.00\);_(* "-"??_);_(@_)</c:formatCode>
                <c:ptCount val="11"/>
                <c:pt idx="0">
                  <c:v>20762.28</c:v>
                </c:pt>
                <c:pt idx="1">
                  <c:v>69419.75</c:v>
                </c:pt>
                <c:pt idx="2">
                  <c:v>33637.15</c:v>
                </c:pt>
                <c:pt idx="3">
                  <c:v>42941.770000000004</c:v>
                </c:pt>
                <c:pt idx="4">
                  <c:v>87710.150000000009</c:v>
                </c:pt>
                <c:pt idx="5">
                  <c:v>31592.66</c:v>
                </c:pt>
                <c:pt idx="6">
                  <c:v>6268</c:v>
                </c:pt>
                <c:pt idx="7">
                  <c:v>34587.51</c:v>
                </c:pt>
                <c:pt idx="8">
                  <c:v>97154.21</c:v>
                </c:pt>
                <c:pt idx="9">
                  <c:v>22688.84</c:v>
                </c:pt>
                <c:pt idx="10">
                  <c:v>13688.919999999998</c:v>
                </c:pt>
              </c:numCache>
            </c:numRef>
          </c:val>
        </c:ser>
        <c:ser>
          <c:idx val="1"/>
          <c:order val="1"/>
          <c:tx>
            <c:strRef>
              <c:f>'data for charts'!$C$1</c:f>
              <c:strCache>
                <c:ptCount val="1"/>
                <c:pt idx="0">
                  <c:v>BUDGETED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'data for charts'!$A$2:$A$12</c:f>
              <c:strCache>
                <c:ptCount val="11"/>
                <c:pt idx="0">
                  <c:v>Benchmarks</c:v>
                </c:pt>
                <c:pt idx="1">
                  <c:v>Communications</c:v>
                </c:pt>
                <c:pt idx="2">
                  <c:v>Leadership Academy</c:v>
                </c:pt>
                <c:pt idx="3">
                  <c:v>Consortia</c:v>
                </c:pt>
                <c:pt idx="4">
                  <c:v>ELC programming</c:v>
                </c:pt>
                <c:pt idx="5">
                  <c:v>G&amp;A</c:v>
                </c:pt>
                <c:pt idx="6">
                  <c:v>Membership</c:v>
                </c:pt>
                <c:pt idx="7">
                  <c:v>Strategic Partnerships</c:v>
                </c:pt>
                <c:pt idx="8">
                  <c:v>Governance</c:v>
                </c:pt>
                <c:pt idx="9">
                  <c:v>Educational Research</c:v>
                </c:pt>
                <c:pt idx="10">
                  <c:v>Clinical Education </c:v>
                </c:pt>
              </c:strCache>
            </c:strRef>
          </c:cat>
          <c:val>
            <c:numRef>
              <c:f>'data for charts'!$C$2:$C$12</c:f>
              <c:numCache>
                <c:formatCode>_(* #,##0.00_);_(* \(#,##0.00\);_(* "-"??_);_(@_)</c:formatCode>
                <c:ptCount val="11"/>
                <c:pt idx="0">
                  <c:v>35600</c:v>
                </c:pt>
                <c:pt idx="1">
                  <c:v>89229</c:v>
                </c:pt>
                <c:pt idx="2">
                  <c:v>57490</c:v>
                </c:pt>
                <c:pt idx="3">
                  <c:v>58000</c:v>
                </c:pt>
                <c:pt idx="4">
                  <c:v>110300</c:v>
                </c:pt>
                <c:pt idx="5">
                  <c:v>43330</c:v>
                </c:pt>
                <c:pt idx="6">
                  <c:v>6000</c:v>
                </c:pt>
                <c:pt idx="7">
                  <c:v>49075</c:v>
                </c:pt>
                <c:pt idx="8">
                  <c:v>120715</c:v>
                </c:pt>
                <c:pt idx="9">
                  <c:v>30500</c:v>
                </c:pt>
                <c:pt idx="10">
                  <c:v>52800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91"/>
        <c:extLst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2">
        <a:lumMod val="25000"/>
      </a:schemeClr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bg1"/>
                </a:solidFill>
                <a:effectLst/>
              </a:rPr>
              <a:t>ACAPT - Strategic Partnership Expenses</a:t>
            </a:r>
            <a:endParaRPr lang="en-US" sz="1800" b="1">
              <a:solidFill>
                <a:schemeClr val="bg1"/>
              </a:solidFill>
              <a:effectLst/>
            </a:endParaRPr>
          </a:p>
          <a:p>
            <a:pPr>
              <a:defRPr>
                <a:solidFill>
                  <a:schemeClr val="bg1"/>
                </a:solidFill>
              </a:defRPr>
            </a:pPr>
            <a:r>
              <a:rPr lang="en-US" sz="1800" b="1" i="0" u="none" strike="noStrike" baseline="0">
                <a:effectLst/>
              </a:rPr>
              <a:t>Actual</a:t>
            </a:r>
            <a:r>
              <a:rPr lang="en-US" sz="1800" b="1" i="0" baseline="0">
                <a:solidFill>
                  <a:schemeClr val="bg1"/>
                </a:solidFill>
                <a:effectLst/>
              </a:rPr>
              <a:t> 12/31/2017</a:t>
            </a:r>
            <a:endParaRPr lang="en-US" sz="1800" b="1">
              <a:solidFill>
                <a:schemeClr val="bg1"/>
              </a:solidFill>
              <a:effectLst/>
            </a:endParaRPr>
          </a:p>
        </c:rich>
      </c:tx>
      <c:layout>
        <c:manualLayout>
          <c:xMode val="edge"/>
          <c:yMode val="edge"/>
          <c:x val="0.21412393162393167"/>
          <c:y val="3.5612715600151057E-2"/>
        </c:manualLayout>
      </c:layout>
      <c:overlay val="0"/>
      <c:spPr>
        <a:solidFill>
          <a:schemeClr val="tx1">
            <a:lumMod val="75000"/>
            <a:lumOff val="2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765700019204916"/>
          <c:y val="0.24761914845807878"/>
          <c:w val="0.46863752607847098"/>
          <c:h val="0.6553783421626308"/>
        </c:manualLayout>
      </c:layout>
      <c:pieChart>
        <c:varyColors val="1"/>
        <c:ser>
          <c:idx val="0"/>
          <c:order val="0"/>
          <c:tx>
            <c:strRef>
              <c:f>'data for charts'!$B$18</c:f>
              <c:strCache>
                <c:ptCount val="1"/>
                <c:pt idx="0">
                  <c:v>YTD ACTUAL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tint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23280503398614"/>
                  <c:y val="4.31210890212009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712430176997106"/>
                  <c:y val="1.49503947595972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581196581196586E-2"/>
                      <c:h val="7.461526968474525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7667501901465917E-2"/>
                  <c:y val="-6.387582745281290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721027660004038"/>
                      <c:h val="0.1435353189546958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5.5688976377952754E-2"/>
                  <c:y val="-3.13560648038672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6969849922606"/>
                      <c:h val="8.8826850476052654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3.8743185947910389E-2"/>
                  <c:y val="-9.118470231561709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3727616087900344E-2"/>
                  <c:y val="-3.6688437201163807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0468436637727976"/>
                  <c:y val="6.8327115766737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bg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'data for charts'!$A$19:$A$31</c15:sqref>
                  </c15:fullRef>
                </c:ext>
              </c:extLst>
              <c:f>('data for charts'!$A$20,'data for charts'!$A$22,'data for charts'!$A$25,'data for charts'!$A$28:$A$31)</c:f>
              <c:strCache>
                <c:ptCount val="7"/>
                <c:pt idx="0">
                  <c:v>Strategic Partnerships, General</c:v>
                </c:pt>
                <c:pt idx="1">
                  <c:v>FGAF</c:v>
                </c:pt>
                <c:pt idx="2">
                  <c:v>National Academy of Medicine</c:v>
                </c:pt>
                <c:pt idx="3">
                  <c:v>Graham Sessions</c:v>
                </c:pt>
                <c:pt idx="4">
                  <c:v>Foundation for PT</c:v>
                </c:pt>
                <c:pt idx="5">
                  <c:v>IPEC</c:v>
                </c:pt>
                <c:pt idx="6">
                  <c:v>Student Assembly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'data for charts'!$B$19:$B$31</c15:sqref>
                  </c15:fullRef>
                </c:ext>
              </c:extLst>
              <c:f>('data for charts'!$B$20,'data for charts'!$B$22,'data for charts'!$B$25,'data for charts'!$B$28:$B$31)</c:f>
              <c:numCache>
                <c:formatCode>_(* #,##0.00_);_(* \(#,##0.00\);_(* "-"??_);_(@_)</c:formatCode>
                <c:ptCount val="7"/>
                <c:pt idx="0">
                  <c:v>3600</c:v>
                </c:pt>
                <c:pt idx="1">
                  <c:v>207.25</c:v>
                </c:pt>
                <c:pt idx="2">
                  <c:v>17425.189999999999</c:v>
                </c:pt>
                <c:pt idx="3">
                  <c:v>3108.46</c:v>
                </c:pt>
                <c:pt idx="4">
                  <c:v>2250</c:v>
                </c:pt>
                <c:pt idx="5">
                  <c:v>6063.77</c:v>
                </c:pt>
                <c:pt idx="6">
                  <c:v>600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'data for charts'!$B$26</c15:sqref>
                  <c15:spPr xmlns:c15="http://schemas.microsoft.com/office/drawing/2012/chart">
                    <a:solidFill>
                      <a:schemeClr val="accent4">
                        <a:shade val="9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15:spPr>
                  <c15:bubble3D val="0"/>
                  <c15:dLbl>
                    <c:idx val="2"/>
                    <c:layout>
                      <c:manualLayout>
                        <c:x val="-0.1853371044805652"/>
                        <c:y val="0.149264318704348"/>
                      </c:manualLayout>
                    </c:layout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15:dLbl>
                </c15:categoryFilterException>
                <c15:categoryFilterException>
                  <c15:sqref>'data for charts'!$B$27</c15:sqref>
                  <c15:spPr xmlns:c15="http://schemas.microsoft.com/office/drawing/2012/chart">
                    <a:solidFill>
                      <a:schemeClr val="accent4">
                        <a:shade val="8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15:spPr>
                  <c15:bubble3D val="0"/>
                  <c15:dLbl>
                    <c:idx val="2"/>
                    <c:layout>
                      <c:manualLayout>
                        <c:x val="-0.17956643446176768"/>
                        <c:y val="5.6757858756027589E-2"/>
                      </c:manualLayout>
                    </c:layout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15:dLbl>
                </c15:categoryFilterException>
              </c15:categoryFilterExceptions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17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'data for charts'!$C$18</c15:sqref>
                        </c15:formulaRef>
                      </c:ext>
                    </c:extLst>
                    <c:strCache>
                      <c:ptCount val="1"/>
                      <c:pt idx="0">
                        <c:v>BUDGETED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4">
                        <a:tint val="5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4">
                        <a:tint val="7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>
                        <a:shade val="7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4"/>
                  <c:bubble3D val="0"/>
                  <c:spPr>
                    <a:solidFill>
                      <a:schemeClr val="accent4">
                        <a:shade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5"/>
                  <c:bubble3D val="0"/>
                  <c:spPr>
                    <a:solidFill>
                      <a:schemeClr val="accent4">
                        <a:shade val="5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6"/>
                  <c:bubble3D val="0"/>
                  <c:spPr>
                    <a:solidFill>
                      <a:schemeClr val="accent4">
                        <a:shade val="4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cat>
                  <c:strRef>
                    <c:extLst>
                      <c:ext uri="{02D57815-91ED-43cb-92C2-25804820EDAC}">
                        <c15:fullRef>
                          <c15:sqref>'data for charts'!$A$19:$A$31</c15:sqref>
                        </c15:fullRef>
                        <c15:formulaRef>
                          <c15:sqref>('data for charts'!$A$20,'data for charts'!$A$22,'data for charts'!$A$25,'data for charts'!$A$28:$A$31)</c15:sqref>
                        </c15:formulaRef>
                      </c:ext>
                    </c:extLst>
                    <c:strCache>
                      <c:ptCount val="7"/>
                      <c:pt idx="0">
                        <c:v>Strategic Partnerships, General</c:v>
                      </c:pt>
                      <c:pt idx="1">
                        <c:v>FGAF</c:v>
                      </c:pt>
                      <c:pt idx="2">
                        <c:v>National Academy of Medicine</c:v>
                      </c:pt>
                      <c:pt idx="3">
                        <c:v>Graham Sessions</c:v>
                      </c:pt>
                      <c:pt idx="4">
                        <c:v>Foundation for PT</c:v>
                      </c:pt>
                      <c:pt idx="5">
                        <c:v>IPEC</c:v>
                      </c:pt>
                      <c:pt idx="6">
                        <c:v>Student Assembly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'data for charts'!$C$19:$C$31</c15:sqref>
                        </c15:fullRef>
                        <c15:formulaRef>
                          <c15:sqref>('data for charts'!$C$20,'data for charts'!$C$22,'data for charts'!$C$25,'data for charts'!$C$28:$C$31)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7"/>
                      <c:pt idx="0">
                        <c:v>3600</c:v>
                      </c:pt>
                      <c:pt idx="1">
                        <c:v>1130</c:v>
                      </c:pt>
                      <c:pt idx="2">
                        <c:v>19200</c:v>
                      </c:pt>
                      <c:pt idx="3">
                        <c:v>4500</c:v>
                      </c:pt>
                      <c:pt idx="4">
                        <c:v>2500</c:v>
                      </c:pt>
                      <c:pt idx="5">
                        <c:v>6130</c:v>
                      </c:pt>
                      <c:pt idx="6">
                        <c:v>600</c:v>
                      </c:pt>
                    </c:numCache>
                  </c:numRef>
                </c:val>
                <c:extLst>
                  <c:ext uri="{02D57815-91ED-43cb-92C2-25804820EDAC}">
                    <c15:categoryFilterExceptions>
                      <c15:categoryFilterException>
                        <c15:sqref>'data for charts'!$C$26</c15:sqref>
                        <c15:spPr xmlns:c15="http://schemas.microsoft.com/office/drawing/2012/chart">
                          <a:solidFill>
                            <a:schemeClr val="accent4">
                              <a:shade val="90000"/>
                            </a:schemeClr>
                          </a:solidFill>
                          <a:ln w="19050">
                            <a:solidFill>
                              <a:schemeClr val="lt1"/>
                            </a:solidFill>
                          </a:ln>
                          <a:effectLst/>
                        </c15:spPr>
                        <c15:bubble3D val="0"/>
                      </c15:categoryFilterException>
                      <c15:categoryFilterException>
                        <c15:sqref>'data for charts'!$C$27</c15:sqref>
                        <c15:spPr xmlns:c15="http://schemas.microsoft.com/office/drawing/2012/chart">
                          <a:solidFill>
                            <a:schemeClr val="accent4">
                              <a:shade val="80000"/>
                            </a:schemeClr>
                          </a:solidFill>
                          <a:ln w="19050">
                            <a:solidFill>
                              <a:schemeClr val="lt1"/>
                            </a:solidFill>
                          </a:ln>
                          <a:effectLst/>
                        </c15:spPr>
                        <c15:bubble3D val="0"/>
                      </c15:categoryFilterException>
                    </c15:categoryFilterExceptions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tx1">
        <a:lumMod val="75000"/>
        <a:lumOff val="2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u="none" strike="noStrike" baseline="0">
                <a:effectLst/>
              </a:rPr>
              <a:t>ACAPT - Task Forces and Panel</a:t>
            </a:r>
            <a:r>
              <a:rPr lang="en-US" sz="1800" b="1">
                <a:solidFill>
                  <a:schemeClr val="bg1"/>
                </a:solidFill>
              </a:rPr>
              <a:t>s</a:t>
            </a:r>
            <a:br>
              <a:rPr lang="en-US" sz="1800" b="1">
                <a:solidFill>
                  <a:schemeClr val="bg1"/>
                </a:solidFill>
              </a:rPr>
            </a:br>
            <a:r>
              <a:rPr lang="en-US" sz="1800" b="1">
                <a:solidFill>
                  <a:schemeClr val="bg1"/>
                </a:solidFill>
              </a:rPr>
              <a:t>Actual 12/31/2017</a:t>
            </a:r>
          </a:p>
        </c:rich>
      </c:tx>
      <c:layout/>
      <c:overlay val="0"/>
      <c:spPr>
        <a:solidFill>
          <a:schemeClr val="tx1">
            <a:lumMod val="75000"/>
            <a:lumOff val="2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'data for charts'!$B$34</c:f>
              <c:strCache>
                <c:ptCount val="1"/>
                <c:pt idx="0">
                  <c:v>YTD ACTUAL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2983757318796684E-2"/>
                  <c:y val="-5.78555489655873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54223029813581"/>
                      <c:h val="0.1543732573796997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9.7316777710478419E-2"/>
                  <c:y val="1.1409563950723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120314287637124E-2"/>
                  <c:y val="5.97293901517237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87404939767141"/>
                      <c:h val="0.2007813946969279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for charts'!$A$35:$A$37</c:f>
              <c:strCache>
                <c:ptCount val="3"/>
                <c:pt idx="0">
                  <c:v>Education Research </c:v>
                </c:pt>
                <c:pt idx="1">
                  <c:v>Leadership Academy</c:v>
                </c:pt>
                <c:pt idx="2">
                  <c:v>Clinical Education</c:v>
                </c:pt>
              </c:strCache>
            </c:strRef>
          </c:cat>
          <c:val>
            <c:numRef>
              <c:f>'data for charts'!$B$35:$B$37</c:f>
              <c:numCache>
                <c:formatCode>_(* #,##0.00_);_(* \(#,##0.00\);_(* "-"??_);_(@_)</c:formatCode>
                <c:ptCount val="3"/>
                <c:pt idx="0">
                  <c:v>11256.5</c:v>
                </c:pt>
                <c:pt idx="1">
                  <c:v>2802.05</c:v>
                </c:pt>
                <c:pt idx="2">
                  <c:v>8888.92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8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'data for charts'!$C$34</c15:sqref>
                        </c15:formulaRef>
                      </c:ext>
                    </c:extLst>
                    <c:strCache>
                      <c:ptCount val="1"/>
                      <c:pt idx="0">
                        <c:v>BUDGETED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bg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bg1"/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'data for charts'!$A$35:$A$37</c15:sqref>
                        </c15:formulaRef>
                      </c:ext>
                    </c:extLst>
                    <c:strCache>
                      <c:ptCount val="3"/>
                      <c:pt idx="0">
                        <c:v>Education Research </c:v>
                      </c:pt>
                      <c:pt idx="1">
                        <c:v>Leadership Academy</c:v>
                      </c:pt>
                      <c:pt idx="2">
                        <c:v>Clinical Education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'data for charts'!$C$35:$C$37</c15:sqref>
                        </c15:formulaRef>
                      </c:ext>
                    </c:extLst>
                    <c:numCache>
                      <c:formatCode>_(* #,##0.00_);_(* \(#,##0.00\);_(* "-"??_);_(@_)</c:formatCode>
                      <c:ptCount val="3"/>
                      <c:pt idx="0">
                        <c:v>14500</c:v>
                      </c:pt>
                      <c:pt idx="1">
                        <c:v>22000</c:v>
                      </c:pt>
                      <c:pt idx="2">
                        <c:v>48000</c:v>
                      </c:pt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tx1">
        <a:lumMod val="75000"/>
        <a:lumOff val="2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75000"/>
              <a:lumOff val="25000"/>
            </a:schemeClr>
          </a:solidFill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>
                <a:solidFill>
                  <a:schemeClr val="bg1"/>
                </a:solidFill>
                <a:effectLst/>
              </a:rPr>
              <a:t> </a:t>
            </a:r>
            <a:r>
              <a:rPr lang="en-US" sz="1800" b="1" i="0" u="none" strike="noStrike" baseline="0">
                <a:solidFill>
                  <a:schemeClr val="bg1"/>
                </a:solidFill>
                <a:effectLst/>
              </a:rPr>
              <a:t>ACAPT - Revenue </a:t>
            </a:r>
            <a:r>
              <a:rPr lang="en-US" sz="1400" b="1" i="0" u="none" strike="noStrike" baseline="0">
                <a:effectLst/>
              </a:rPr>
              <a:t/>
            </a:r>
            <a:br>
              <a:rPr lang="en-US" sz="1400" b="1" i="0" u="none" strike="noStrike" baseline="0">
                <a:effectLst/>
              </a:rPr>
            </a:br>
            <a:r>
              <a:rPr lang="en-US" sz="1800" b="1" i="0" u="none" strike="noStrike" baseline="0">
                <a:solidFill>
                  <a:schemeClr val="bg1"/>
                </a:solidFill>
                <a:effectLst/>
              </a:rPr>
              <a:t>Actual</a:t>
            </a:r>
            <a:r>
              <a:rPr lang="en-US" sz="1400" b="1" i="0" u="none" strike="noStrike" baseline="0">
                <a:effectLst/>
              </a:rPr>
              <a:t> </a:t>
            </a:r>
            <a:r>
              <a:rPr lang="en-US" sz="1800" b="1" i="0" baseline="0">
                <a:solidFill>
                  <a:schemeClr val="bg1"/>
                </a:solidFill>
                <a:effectLst/>
              </a:rPr>
              <a:t> 12/31/2017</a:t>
            </a:r>
            <a:endParaRPr lang="en-US" sz="1800" b="1">
              <a:solidFill>
                <a:schemeClr val="bg1"/>
              </a:solidFill>
              <a:effectLst/>
            </a:endParaRPr>
          </a:p>
        </c:rich>
      </c:tx>
      <c:layout>
        <c:manualLayout>
          <c:xMode val="edge"/>
          <c:yMode val="edge"/>
          <c:x val="0.35723262950558055"/>
          <c:y val="1.935483870967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'data for charts'!$B$43</c:f>
              <c:strCache>
                <c:ptCount val="1"/>
                <c:pt idx="0">
                  <c:v>YTD ACTUAL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6.6525542286554537E-2"/>
                  <c:y val="1.24502582338498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566067864643587E-2"/>
                  <c:y val="9.837609008551351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571115624938824E-2"/>
                  <c:y val="3.47371094742189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7142436329705E-2"/>
                  <c:y val="-8.87760562187790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952868456067336E-2"/>
                  <c:y val="5.117933611026358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3BF45B4-ED72-4248-BAFE-ED23674D5D95}" type="CATEGORYNAME">
                      <a:rPr lang="en-US"/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69775893397938"/>
                      <c:h val="0.1468742932517692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8.2373458755183981E-2"/>
                  <c:y val="0.128754381508762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bg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for charts'!$A$44:$A$49</c:f>
              <c:strCache>
                <c:ptCount val="6"/>
                <c:pt idx="0">
                  <c:v>Dues</c:v>
                </c:pt>
                <c:pt idx="1">
                  <c:v>ELC Sponsorships</c:v>
                </c:pt>
                <c:pt idx="2">
                  <c:v>ELC Registrations</c:v>
                </c:pt>
                <c:pt idx="3">
                  <c:v>MERC Registration</c:v>
                </c:pt>
                <c:pt idx="4">
                  <c:v>ELC Abstract Submission</c:v>
                </c:pt>
                <c:pt idx="5">
                  <c:v>Investments</c:v>
                </c:pt>
              </c:strCache>
            </c:strRef>
          </c:cat>
          <c:val>
            <c:numRef>
              <c:f>'data for charts'!$B$44:$B$49</c:f>
              <c:numCache>
                <c:formatCode>"$"#,##0.00_);\("$"#,##0.00\)</c:formatCode>
                <c:ptCount val="6"/>
                <c:pt idx="0">
                  <c:v>542500.07999999996</c:v>
                </c:pt>
                <c:pt idx="1">
                  <c:v>19350</c:v>
                </c:pt>
                <c:pt idx="2" formatCode="_(* #,##0.00_);_(* \(#,##0.00\);_(* &quot;-&quot;??_);_(@_)">
                  <c:v>116682.75</c:v>
                </c:pt>
                <c:pt idx="3" formatCode="_(* #,##0.00_);_(* \(#,##0.00\);_(* &quot;-&quot;??_);_(@_)">
                  <c:v>6662.5</c:v>
                </c:pt>
                <c:pt idx="4">
                  <c:v>2370</c:v>
                </c:pt>
                <c:pt idx="5" formatCode="_(* #,##0.00_);_(* \(#,##0.00\);_(* &quot;-&quot;??_);_(@_)">
                  <c:v>40636.49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'data for charts'!$C$43</c15:sqref>
                        </c15:formulaRef>
                      </c:ext>
                    </c:extLst>
                    <c:strCache>
                      <c:ptCount val="1"/>
                      <c:pt idx="0">
                        <c:v>BUDGETED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dLbl>
                    <c:idx val="0"/>
                    <c:layout>
                      <c:manualLayout>
                        <c:x val="-7.1348949264998171E-2"/>
                        <c:y val="-4.3010752688172043E-3"/>
                      </c:manualLayout>
                    </c:layout>
                    <c:dLblPos val="bestFit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:dLbl>
                  <c:dLbl>
                    <c:idx val="1"/>
                    <c:layout>
                      <c:manualLayout>
                        <c:x val="8.0267567923122909E-2"/>
                        <c:y val="-6.4516129032258064E-3"/>
                      </c:manualLayout>
                    </c:layout>
                    <c:dLblPos val="bestFit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:dLbl>
                  <c:dLbl>
                    <c:idx val="5"/>
                    <c:layout>
                      <c:manualLayout>
                        <c:x val="6.6889639935935871E-2"/>
                        <c:y val="0"/>
                      </c:manualLayout>
                    </c:layout>
                    <c:dLblPos val="bestFit"/>
                    <c:showLegendKey val="0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bg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'data for charts'!$A$44:$A$49</c15:sqref>
                        </c15:formulaRef>
                      </c:ext>
                    </c:extLst>
                    <c:strCache>
                      <c:ptCount val="6"/>
                      <c:pt idx="0">
                        <c:v>Dues</c:v>
                      </c:pt>
                      <c:pt idx="1">
                        <c:v>ELC Sponsorships</c:v>
                      </c:pt>
                      <c:pt idx="2">
                        <c:v>ELC Registrations</c:v>
                      </c:pt>
                      <c:pt idx="3">
                        <c:v>MERC Registration</c:v>
                      </c:pt>
                      <c:pt idx="4">
                        <c:v>ELC Abstract Submission</c:v>
                      </c:pt>
                      <c:pt idx="5">
                        <c:v>Investments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'data for charts'!$C$44:$C$49</c15:sqref>
                        </c15:formulaRef>
                      </c:ext>
                    </c:extLst>
                    <c:numCache>
                      <c:formatCode>"$"#,##0.00_);\("$"#,##0.00\)</c:formatCode>
                      <c:ptCount val="6"/>
                      <c:pt idx="0">
                        <c:v>525000</c:v>
                      </c:pt>
                      <c:pt idx="1">
                        <c:v>15500</c:v>
                      </c:pt>
                      <c:pt idx="2" formatCode="_(* #,##0.00_);_(* \(#,##0.00\);_(* &quot;-&quot;??_);_(@_)">
                        <c:v>82500</c:v>
                      </c:pt>
                      <c:pt idx="3" formatCode="_(* #,##0.00_);_(* \(#,##0.00\);_(* &quot;-&quot;??_);_(@_)">
                        <c:v>0</c:v>
                      </c:pt>
                      <c:pt idx="4">
                        <c:v>0</c:v>
                      </c:pt>
                      <c:pt idx="5" formatCode="_(* #,##0.00_);_(* \(#,##0.00\);_(* &quot;-&quot;??_);_(@_)">
                        <c:v>4000</c:v>
                      </c:pt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tx1">
        <a:lumMod val="75000"/>
        <a:lumOff val="2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solidFill>
                  <a:schemeClr val="bg1"/>
                </a:solidFill>
                <a:effectLst/>
              </a:rPr>
              <a:t>ACAPT</a:t>
            </a:r>
            <a:br>
              <a:rPr lang="en-US" sz="1800" b="0" i="0" baseline="0">
                <a:solidFill>
                  <a:schemeClr val="bg1"/>
                </a:solidFill>
                <a:effectLst/>
              </a:rPr>
            </a:br>
            <a:r>
              <a:rPr lang="en-US" sz="1800" b="0" i="0" baseline="0">
                <a:solidFill>
                  <a:schemeClr val="bg1"/>
                </a:solidFill>
                <a:effectLst/>
              </a:rPr>
              <a:t>Total Revenue and Expenses</a:t>
            </a:r>
            <a:endParaRPr lang="en-US">
              <a:solidFill>
                <a:schemeClr val="bg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for charts'!$A$52</c:f>
              <c:strCache>
                <c:ptCount val="1"/>
                <c:pt idx="0">
                  <c:v>Revenue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'data for charts'!$B$51:$C$51</c:f>
              <c:strCache>
                <c:ptCount val="2"/>
                <c:pt idx="0">
                  <c:v>2017 BUDGET</c:v>
                </c:pt>
                <c:pt idx="1">
                  <c:v>YTD, 12/31/2017</c:v>
                </c:pt>
              </c:strCache>
            </c:strRef>
          </c:cat>
          <c:val>
            <c:numRef>
              <c:f>'data for charts'!$B$52:$C$52</c:f>
              <c:numCache>
                <c:formatCode>"$"#,##0.00_);\("$"#,##0.00\)</c:formatCode>
                <c:ptCount val="2"/>
                <c:pt idx="0" formatCode="_(* #,##0.00_);_(* \(#,##0.00\);_(* &quot;-&quot;??_);_(@_)">
                  <c:v>627000</c:v>
                </c:pt>
                <c:pt idx="1">
                  <c:v>729071.82</c:v>
                </c:pt>
              </c:numCache>
            </c:numRef>
          </c:val>
        </c:ser>
        <c:ser>
          <c:idx val="1"/>
          <c:order val="1"/>
          <c:tx>
            <c:strRef>
              <c:f>'data for charts'!$A$53</c:f>
              <c:strCache>
                <c:ptCount val="1"/>
                <c:pt idx="0">
                  <c:v>Expense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'data for charts'!$B$51:$C$51</c:f>
              <c:strCache>
                <c:ptCount val="2"/>
                <c:pt idx="0">
                  <c:v>2017 BUDGET</c:v>
                </c:pt>
                <c:pt idx="1">
                  <c:v>YTD, 12/31/2017</c:v>
                </c:pt>
              </c:strCache>
            </c:strRef>
          </c:cat>
          <c:val>
            <c:numRef>
              <c:f>'data for charts'!$B$53:$C$53</c:f>
              <c:numCache>
                <c:formatCode>_(* #,##0.00_);_(* \(#,##0.00\);_(* "-"??_);_(@_)</c:formatCode>
                <c:ptCount val="2"/>
                <c:pt idx="0">
                  <c:v>653039</c:v>
                </c:pt>
                <c:pt idx="1">
                  <c:v>461078.69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862752"/>
        <c:axId val="142871328"/>
      </c:barChart>
      <c:catAx>
        <c:axId val="14286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871328"/>
        <c:crosses val="autoZero"/>
        <c:auto val="1"/>
        <c:lblAlgn val="ctr"/>
        <c:lblOffset val="100"/>
        <c:noMultiLvlLbl val="0"/>
      </c:catAx>
      <c:valAx>
        <c:axId val="14287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86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tx1">
        <a:lumMod val="75000"/>
        <a:lumOff val="2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Desta, Kassa</dc:creator>
  <cp:keywords/>
  <dc:description/>
  <cp:lastModifiedBy>Desta, Kassa</cp:lastModifiedBy>
  <cp:revision>21</cp:revision>
  <dcterms:created xsi:type="dcterms:W3CDTF">2017-07-27T21:21:00Z</dcterms:created>
  <dcterms:modified xsi:type="dcterms:W3CDTF">2018-03-13T13:43:00Z</dcterms:modified>
</cp:coreProperties>
</file>